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23D" w:rsidRDefault="000B5677" w:rsidP="00860B2D">
      <w:pPr>
        <w:pStyle w:val="Rubrik1"/>
      </w:pPr>
      <w:r>
        <w:t>Slutredovisning av biotopvårdsprojekt i Forsaån, Askersunds kommun</w:t>
      </w:r>
    </w:p>
    <w:p w:rsidR="00860B2D" w:rsidRDefault="00860B2D" w:rsidP="00860B2D">
      <w:pPr>
        <w:pStyle w:val="Rubrik2"/>
      </w:pPr>
    </w:p>
    <w:p w:rsidR="000B5677" w:rsidRDefault="000B5677" w:rsidP="00860B2D">
      <w:pPr>
        <w:pStyle w:val="Rubrik2"/>
      </w:pPr>
      <w:r>
        <w:t>Bakgrund</w:t>
      </w:r>
    </w:p>
    <w:p w:rsidR="000B5677" w:rsidRDefault="000B5677">
      <w:r>
        <w:t>Forsaån utgör lek- och uppväxtområde för vätternöring och flodnejonöga. I ett tidigare projekt har alla definitiva vandringshinder undanröjts. Ån är rensad till förmån för kvarn-, såg- och kraftverksamheter som tidigare fanns där. I dag finns inga verksamheter kvar i ån. Ett återställande av de rensade delarna av ån skulle kraftigt gynna öringens uppväxtmöjligheter och övrig strömvattenknuten fauna</w:t>
      </w:r>
      <w:r w:rsidR="00DE14ED">
        <w:t>. Huvudman för projektet är Sörbygdens samfällighetsförening för fiskevård.</w:t>
      </w:r>
    </w:p>
    <w:p w:rsidR="00DE14ED" w:rsidRDefault="00DE14ED" w:rsidP="00860B2D">
      <w:pPr>
        <w:pStyle w:val="Rubrik2"/>
      </w:pPr>
      <w:r>
        <w:t>Genomförande</w:t>
      </w:r>
    </w:p>
    <w:p w:rsidR="00DE14ED" w:rsidRDefault="00DE14ED">
      <w:r>
        <w:t xml:space="preserve">Projektet har genomförts under två år där större delarna av åtgärderna genomfördes under 2015. Under 2016 gjordes mindre åtgärder längst ner i ån som inte hanns med under 2015. </w:t>
      </w:r>
      <w:r w:rsidR="00927AB3">
        <w:t xml:space="preserve">Största delarna av åtgärderna var att </w:t>
      </w:r>
      <w:r w:rsidR="0003253C">
        <w:t>restaurera</w:t>
      </w:r>
      <w:r w:rsidR="00927AB3">
        <w:t xml:space="preserve"> rensade och kanaliserade delar genom att föra tillbaks sten so</w:t>
      </w:r>
      <w:r w:rsidR="0003253C">
        <w:t>m tagits bort från vattendraget samt att skapa ett förhållandevis naturligt vattendrag. På vissa delar rinner ån genom tjocka lager av slaggsten. Här fick större mängder av sten tillföras utifrån för att skapa ett naturligt rinnande vatten. Åtgärder har också gjorts för att underlätta uppvandring av lekfisk där vattendraget har mycket brant lutning. Nedan följer ett antal bilder från före och efter åtgärd.</w:t>
      </w:r>
      <w:r w:rsidR="00D352F9">
        <w:t xml:space="preserve"> Det är svårt att åskådliggöra åtgärderna då vattenståndet varierade mellan fotograferingstillfällena</w:t>
      </w:r>
      <w:r w:rsidR="00EB3899">
        <w:t xml:space="preserve"> och bilderna inte är tagna</w:t>
      </w:r>
      <w:bookmarkStart w:id="0" w:name="_GoBack"/>
      <w:bookmarkEnd w:id="0"/>
      <w:r w:rsidR="00860B2D">
        <w:t xml:space="preserve"> på riktigt samma ställe</w:t>
      </w:r>
      <w:r w:rsidR="00D352F9">
        <w:t>.</w:t>
      </w:r>
    </w:p>
    <w:p w:rsidR="00D352F9" w:rsidRPr="00860B2D" w:rsidRDefault="00D352F9">
      <w:pPr>
        <w:rPr>
          <w:i/>
        </w:rPr>
      </w:pPr>
      <w:r w:rsidRPr="00860B2D">
        <w:rPr>
          <w:i/>
        </w:rPr>
        <w:t xml:space="preserve">Bild 1: </w:t>
      </w:r>
      <w:r w:rsidR="00860B2D">
        <w:rPr>
          <w:i/>
        </w:rPr>
        <w:t xml:space="preserve">Före åtgärd. </w:t>
      </w:r>
      <w:r w:rsidRPr="00860B2D">
        <w:rPr>
          <w:i/>
        </w:rPr>
        <w:t>Botten bestod här av slaggsten vilket innebär ett ensartat vattendrag med få möjligheter till ståndplatser och lek.</w:t>
      </w:r>
    </w:p>
    <w:p w:rsidR="00617DCC" w:rsidRDefault="00D352F9">
      <w:r w:rsidRPr="00D352F9">
        <w:rPr>
          <w:noProof/>
          <w:lang w:eastAsia="sv-SE"/>
        </w:rPr>
        <w:drawing>
          <wp:inline distT="0" distB="0" distL="0" distR="0">
            <wp:extent cx="5760720" cy="3856596"/>
            <wp:effectExtent l="0" t="0" r="0" b="0"/>
            <wp:docPr id="1" name="Bildobjekt 1" descr="C:\Users\a\Desktop\Mats O\Documents\Firman\Uppdrag\Forsaån\Bilder\20150731\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Mats O\Documents\Firman\Uppdrag\Forsaån\Bilder\20150731\DSC_005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56596"/>
                    </a:xfrm>
                    <a:prstGeom prst="rect">
                      <a:avLst/>
                    </a:prstGeom>
                    <a:noFill/>
                    <a:ln>
                      <a:noFill/>
                    </a:ln>
                  </pic:spPr>
                </pic:pic>
              </a:graphicData>
            </a:graphic>
          </wp:inline>
        </w:drawing>
      </w:r>
    </w:p>
    <w:p w:rsidR="00860B2D" w:rsidRDefault="00860B2D"/>
    <w:p w:rsidR="00D352F9" w:rsidRPr="00860B2D" w:rsidRDefault="00D352F9">
      <w:pPr>
        <w:rPr>
          <w:i/>
        </w:rPr>
      </w:pPr>
      <w:r w:rsidRPr="00860B2D">
        <w:rPr>
          <w:i/>
        </w:rPr>
        <w:lastRenderedPageBreak/>
        <w:t>Bild 2: Ungefär samma del av ån efter åtgärd. Natursten har tillförts utifrån</w:t>
      </w:r>
      <w:r w:rsidR="00597BE8" w:rsidRPr="00860B2D">
        <w:rPr>
          <w:i/>
        </w:rPr>
        <w:t xml:space="preserve"> och en, till stora delar, ny botten har byggts upp. Större block som tagits upp ur ån har lagts tillbaks.</w:t>
      </w:r>
    </w:p>
    <w:p w:rsidR="00D352F9" w:rsidRDefault="00D352F9">
      <w:r w:rsidRPr="00D352F9">
        <w:rPr>
          <w:noProof/>
          <w:lang w:eastAsia="sv-SE"/>
        </w:rPr>
        <w:drawing>
          <wp:inline distT="0" distB="0" distL="0" distR="0">
            <wp:extent cx="5760720" cy="3856596"/>
            <wp:effectExtent l="0" t="0" r="0" b="0"/>
            <wp:docPr id="2" name="Bildobjekt 2" descr="C:\Users\a\Desktop\Mats O\Documents\Firman\Uppdrag\Forsaån\Bilder\20151909\DS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Mats O\Documents\Firman\Uppdrag\Forsaån\Bilder\20151909\DSC_005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56596"/>
                    </a:xfrm>
                    <a:prstGeom prst="rect">
                      <a:avLst/>
                    </a:prstGeom>
                    <a:noFill/>
                    <a:ln>
                      <a:noFill/>
                    </a:ln>
                  </pic:spPr>
                </pic:pic>
              </a:graphicData>
            </a:graphic>
          </wp:inline>
        </w:drawing>
      </w:r>
    </w:p>
    <w:p w:rsidR="00597BE8" w:rsidRPr="00860B2D" w:rsidRDefault="00597BE8">
      <w:pPr>
        <w:rPr>
          <w:i/>
        </w:rPr>
      </w:pPr>
      <w:r w:rsidRPr="00860B2D">
        <w:rPr>
          <w:i/>
        </w:rPr>
        <w:t>Bild 3: Efter åtgärd. Bilden är något nedströms föregående bild.</w:t>
      </w:r>
    </w:p>
    <w:p w:rsidR="006D2C69" w:rsidRDefault="006D2C69">
      <w:r w:rsidRPr="00597BE8">
        <w:rPr>
          <w:noProof/>
          <w:lang w:eastAsia="sv-SE"/>
        </w:rPr>
        <w:drawing>
          <wp:inline distT="0" distB="0" distL="0" distR="0" wp14:anchorId="3288CA01" wp14:editId="44BA4A9A">
            <wp:extent cx="5760720" cy="3856355"/>
            <wp:effectExtent l="0" t="0" r="0" b="0"/>
            <wp:docPr id="3" name="Bildobjekt 3" descr="C:\Users\a\Desktop\Mats O\Documents\Firman\Uppdrag\Forsaån\Bilder\20151909\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Mats O\Documents\Firman\Uppdrag\Forsaån\Bilder\20151909\DSC_00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56355"/>
                    </a:xfrm>
                    <a:prstGeom prst="rect">
                      <a:avLst/>
                    </a:prstGeom>
                    <a:noFill/>
                    <a:ln>
                      <a:noFill/>
                    </a:ln>
                  </pic:spPr>
                </pic:pic>
              </a:graphicData>
            </a:graphic>
          </wp:inline>
        </w:drawing>
      </w:r>
    </w:p>
    <w:p w:rsidR="006D2C69" w:rsidRDefault="006D2C69"/>
    <w:p w:rsidR="006D2C69" w:rsidRPr="00860B2D" w:rsidRDefault="006D2C69">
      <w:pPr>
        <w:rPr>
          <w:i/>
        </w:rPr>
      </w:pPr>
      <w:r w:rsidRPr="00860B2D">
        <w:rPr>
          <w:i/>
        </w:rPr>
        <w:lastRenderedPageBreak/>
        <w:t xml:space="preserve">Bild </w:t>
      </w:r>
      <w:r w:rsidR="0056555B" w:rsidRPr="00860B2D">
        <w:rPr>
          <w:i/>
        </w:rPr>
        <w:t xml:space="preserve">nr </w:t>
      </w:r>
      <w:r w:rsidRPr="00860B2D">
        <w:rPr>
          <w:i/>
        </w:rPr>
        <w:t xml:space="preserve">4 och 5: Före och efter åtgärd. Sträcka med en mycket brant lutning där ån rinner över kala hällar. Mycket svårt för fisk att ta sig förbi speciellt vid lägre vattenföring. Större block lades ut och förankrades med rostfri stång. </w:t>
      </w:r>
      <w:r w:rsidR="0056555B" w:rsidRPr="00860B2D">
        <w:rPr>
          <w:i/>
        </w:rPr>
        <w:t>Stränderna förstärktes och finare grus lades ut för att täta mellan de större blocken.</w:t>
      </w:r>
    </w:p>
    <w:p w:rsidR="006D2C69" w:rsidRDefault="006D2C69"/>
    <w:p w:rsidR="006D2C69" w:rsidRDefault="006D2C69"/>
    <w:p w:rsidR="006D2C69" w:rsidRDefault="006D2C69">
      <w:r w:rsidRPr="00141971">
        <w:rPr>
          <w:noProof/>
          <w:lang w:eastAsia="sv-SE"/>
        </w:rPr>
        <w:drawing>
          <wp:anchor distT="0" distB="0" distL="114300" distR="114300" simplePos="0" relativeHeight="251660288" behindDoc="1" locked="0" layoutInCell="1" allowOverlap="1" wp14:anchorId="71F0752E" wp14:editId="30CC4732">
            <wp:simplePos x="0" y="0"/>
            <wp:positionH relativeFrom="margin">
              <wp:posOffset>2170508</wp:posOffset>
            </wp:positionH>
            <wp:positionV relativeFrom="paragraph">
              <wp:posOffset>144702</wp:posOffset>
            </wp:positionV>
            <wp:extent cx="4271650" cy="2859561"/>
            <wp:effectExtent l="20320" t="17780" r="15875" b="15875"/>
            <wp:wrapNone/>
            <wp:docPr id="5" name="Bildobjekt 5" descr="C:\Users\a\Desktop\Mats O\Documents\Firman\Uppdrag\Forsaån\Bilder\20151004-07\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Mats O\Documents\Firman\Uppdrag\Forsaån\Bilder\20151004-07\DSC_01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273945" cy="2861097"/>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Pr="00141971">
        <w:rPr>
          <w:noProof/>
          <w:lang w:eastAsia="sv-SE"/>
        </w:rPr>
        <w:drawing>
          <wp:anchor distT="0" distB="0" distL="114300" distR="114300" simplePos="0" relativeHeight="251658240" behindDoc="1" locked="0" layoutInCell="1" allowOverlap="1" wp14:anchorId="27D408C8" wp14:editId="0C619C4D">
            <wp:simplePos x="0" y="0"/>
            <wp:positionH relativeFrom="margin">
              <wp:align>left</wp:align>
            </wp:positionH>
            <wp:positionV relativeFrom="paragraph">
              <wp:posOffset>136525</wp:posOffset>
            </wp:positionV>
            <wp:extent cx="4284243" cy="2867885"/>
            <wp:effectExtent l="22225" t="15875" r="24765" b="24765"/>
            <wp:wrapNone/>
            <wp:docPr id="4" name="Bildobjekt 4" descr="C:\Users\a\Desktop\Mats O\Documents\Firman\Uppdrag\Forsaån\Bilder\20151004-07\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Mats O\Documents\Firman\Uppdrag\Forsaån\Bilder\20151004-07\DSC_00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284243" cy="2867885"/>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p>
    <w:p w:rsidR="006D2C69" w:rsidRDefault="006D2C69"/>
    <w:p w:rsidR="006D2C69" w:rsidRDefault="006D2C69"/>
    <w:p w:rsidR="006D2C69" w:rsidRDefault="006D2C69"/>
    <w:p w:rsidR="006D2C69" w:rsidRDefault="006D2C69"/>
    <w:p w:rsidR="006D2C69" w:rsidRDefault="006D2C69"/>
    <w:p w:rsidR="006D2C69" w:rsidRDefault="006D2C69"/>
    <w:p w:rsidR="006D2C69" w:rsidRDefault="006D2C69"/>
    <w:p w:rsidR="00597BE8" w:rsidRDefault="00597BE8"/>
    <w:p w:rsidR="0056555B" w:rsidRDefault="0056555B"/>
    <w:p w:rsidR="0056555B" w:rsidRDefault="0056555B"/>
    <w:p w:rsidR="0056555B" w:rsidRDefault="0056555B"/>
    <w:p w:rsidR="0056555B" w:rsidRDefault="0056555B"/>
    <w:p w:rsidR="0056555B" w:rsidRDefault="0056555B"/>
    <w:p w:rsidR="002C0155" w:rsidRDefault="002C0155" w:rsidP="00860B2D">
      <w:pPr>
        <w:pStyle w:val="Rubrik2"/>
      </w:pPr>
      <w:r>
        <w:t>Ekonomisk redovisning</w:t>
      </w:r>
    </w:p>
    <w:p w:rsidR="002C0155" w:rsidRDefault="002C0155">
      <w:r>
        <w:t>Totalt har projektet förbrukat 350 000 kr</w:t>
      </w:r>
      <w:r w:rsidR="00860B2D">
        <w:t xml:space="preserve"> under 2015 och 2016</w:t>
      </w:r>
      <w:r>
        <w:t>. 300 000 kr har kommit från Naturskyddsföreningen bra miljövals fond, 30 000 kr</w:t>
      </w:r>
      <w:r w:rsidR="00860B2D">
        <w:t xml:space="preserve"> från S</w:t>
      </w:r>
      <w:r>
        <w:t xml:space="preserve">portfiskarnas fiskevårdsfond och 20 000 kr från Askersunds kommun. </w:t>
      </w:r>
    </w:p>
    <w:p w:rsidR="002C0155" w:rsidRDefault="002C0155" w:rsidP="00860B2D">
      <w:pPr>
        <w:pStyle w:val="Rubrik2"/>
      </w:pPr>
      <w:r>
        <w:t>Uppföljning</w:t>
      </w:r>
    </w:p>
    <w:p w:rsidR="002C0155" w:rsidRDefault="002C0155">
      <w:r>
        <w:t xml:space="preserve">Ett elfiske har genomförts under 2016 där åtgärder genomfördes </w:t>
      </w:r>
      <w:r w:rsidR="00956AB5">
        <w:t>under 2015. Årsungar fångades vilket visade att reproduktion förekommit (diagram nr 1). Tätheteten låg på 98 öringar/100 m</w:t>
      </w:r>
      <w:r w:rsidR="00956AB5">
        <w:rPr>
          <w:vertAlign w:val="superscript"/>
        </w:rPr>
        <w:t>2</w:t>
      </w:r>
      <w:r w:rsidR="00956AB5">
        <w:t xml:space="preserve"> vilken bedöms som hög trots den mycket låga vattenföringen när fisken skulle vandra upp för lek.</w:t>
      </w:r>
      <w:r w:rsidR="00860B2D">
        <w:t xml:space="preserve"> Elfisken kommer att genomföras under kommande år för att följa upp de åtgärder som gjorts.</w:t>
      </w:r>
    </w:p>
    <w:p w:rsidR="00860B2D" w:rsidRDefault="00860B2D"/>
    <w:p w:rsidR="00860B2D" w:rsidRDefault="00860B2D">
      <w:r>
        <w:t>Mats Olsson</w:t>
      </w:r>
    </w:p>
    <w:p w:rsidR="00860B2D" w:rsidRDefault="00860B2D">
      <w:r>
        <w:t>Haddåns Vatten- &amp; Fiskevård</w:t>
      </w:r>
    </w:p>
    <w:p w:rsidR="00860B2D" w:rsidRDefault="00860B2D"/>
    <w:p w:rsidR="00860B2D" w:rsidRDefault="00860B2D"/>
    <w:p w:rsidR="00860B2D" w:rsidRPr="00860B2D" w:rsidRDefault="00860B2D">
      <w:pPr>
        <w:rPr>
          <w:i/>
        </w:rPr>
      </w:pPr>
      <w:r w:rsidRPr="00860B2D">
        <w:rPr>
          <w:i/>
        </w:rPr>
        <w:lastRenderedPageBreak/>
        <w:t>Diagram nr 1: Längdfördelning hos öringen som fångades under elfisket 2016.</w:t>
      </w:r>
    </w:p>
    <w:p w:rsidR="00956AB5" w:rsidRDefault="00956AB5"/>
    <w:p w:rsidR="00956AB5" w:rsidRDefault="00956AB5">
      <w:r>
        <w:rPr>
          <w:noProof/>
          <w:lang w:eastAsia="sv-SE"/>
        </w:rPr>
        <w:drawing>
          <wp:inline distT="0" distB="0" distL="0" distR="0" wp14:anchorId="3C3C5A20" wp14:editId="3AF13ACD">
            <wp:extent cx="5654040" cy="3604260"/>
            <wp:effectExtent l="0" t="0" r="3810" b="1524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555B" w:rsidRPr="00860B2D" w:rsidRDefault="0056555B">
      <w:pPr>
        <w:rPr>
          <w:i/>
        </w:rPr>
      </w:pPr>
      <w:r w:rsidRPr="00860B2D">
        <w:rPr>
          <w:i/>
          <w:noProof/>
          <w:lang w:eastAsia="sv-SE"/>
        </w:rPr>
        <w:drawing>
          <wp:anchor distT="0" distB="0" distL="114300" distR="114300" simplePos="0" relativeHeight="251661312" behindDoc="1" locked="0" layoutInCell="1" allowOverlap="1" wp14:anchorId="6BE238B7" wp14:editId="60A6C1AF">
            <wp:simplePos x="0" y="0"/>
            <wp:positionH relativeFrom="margin">
              <wp:align>right</wp:align>
            </wp:positionH>
            <wp:positionV relativeFrom="paragraph">
              <wp:posOffset>405765</wp:posOffset>
            </wp:positionV>
            <wp:extent cx="5760720" cy="3856596"/>
            <wp:effectExtent l="0" t="0" r="0" b="0"/>
            <wp:wrapNone/>
            <wp:docPr id="6" name="Bildobjekt 6" descr="C:\Users\a\Desktop\Mats O\Documents\Firman\Uppdrag\Forsaån\Bilder\20151909\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sktop\Mats O\Documents\Firman\Uppdrag\Forsaån\Bilder\20151909\DSC_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565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B2D">
        <w:rPr>
          <w:i/>
        </w:rPr>
        <w:t>Bild nr 6: Arbetet i ån utfördes med grävmaskin. En dumper användes för att frakta grus och sten till ån.</w:t>
      </w:r>
    </w:p>
    <w:p w:rsidR="0056555B" w:rsidRDefault="0056555B"/>
    <w:p w:rsidR="0056555B" w:rsidRDefault="0056555B"/>
    <w:p w:rsidR="0056555B" w:rsidRDefault="0056555B"/>
    <w:p w:rsidR="0056555B" w:rsidRDefault="0056555B"/>
    <w:p w:rsidR="0056555B" w:rsidRDefault="0056555B"/>
    <w:p w:rsidR="0056555B" w:rsidRDefault="0056555B"/>
    <w:p w:rsidR="0056555B" w:rsidRDefault="0056555B"/>
    <w:p w:rsidR="0056555B" w:rsidRDefault="0056555B"/>
    <w:p w:rsidR="0056555B" w:rsidRDefault="0056555B"/>
    <w:p w:rsidR="0056555B" w:rsidRDefault="0056555B"/>
    <w:p w:rsidR="0056555B" w:rsidRDefault="0056555B"/>
    <w:sectPr w:rsidR="005655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677"/>
    <w:rsid w:val="000002A6"/>
    <w:rsid w:val="000061DA"/>
    <w:rsid w:val="00024479"/>
    <w:rsid w:val="0003253C"/>
    <w:rsid w:val="00041747"/>
    <w:rsid w:val="00045E8E"/>
    <w:rsid w:val="0005597A"/>
    <w:rsid w:val="000852F3"/>
    <w:rsid w:val="000B5677"/>
    <w:rsid w:val="000D6166"/>
    <w:rsid w:val="000F4AA9"/>
    <w:rsid w:val="00102C97"/>
    <w:rsid w:val="00165383"/>
    <w:rsid w:val="00186488"/>
    <w:rsid w:val="001A6995"/>
    <w:rsid w:val="001B0F88"/>
    <w:rsid w:val="001B749B"/>
    <w:rsid w:val="001B76FA"/>
    <w:rsid w:val="001C0C17"/>
    <w:rsid w:val="001F34AE"/>
    <w:rsid w:val="00220CFF"/>
    <w:rsid w:val="002443DD"/>
    <w:rsid w:val="00286B12"/>
    <w:rsid w:val="002A70A7"/>
    <w:rsid w:val="002B7002"/>
    <w:rsid w:val="002C0155"/>
    <w:rsid w:val="002E1854"/>
    <w:rsid w:val="002F2127"/>
    <w:rsid w:val="003063B7"/>
    <w:rsid w:val="00311F9D"/>
    <w:rsid w:val="0033281A"/>
    <w:rsid w:val="00342936"/>
    <w:rsid w:val="003578A5"/>
    <w:rsid w:val="00365BC0"/>
    <w:rsid w:val="00372C06"/>
    <w:rsid w:val="00373E03"/>
    <w:rsid w:val="00385090"/>
    <w:rsid w:val="003C0041"/>
    <w:rsid w:val="003C4638"/>
    <w:rsid w:val="003F086E"/>
    <w:rsid w:val="00404087"/>
    <w:rsid w:val="0041554F"/>
    <w:rsid w:val="004253F1"/>
    <w:rsid w:val="004279F7"/>
    <w:rsid w:val="00430310"/>
    <w:rsid w:val="00454558"/>
    <w:rsid w:val="00467BC3"/>
    <w:rsid w:val="00471D62"/>
    <w:rsid w:val="004819A8"/>
    <w:rsid w:val="004A0F1E"/>
    <w:rsid w:val="004A3BC8"/>
    <w:rsid w:val="004B7C3C"/>
    <w:rsid w:val="004E35CC"/>
    <w:rsid w:val="004F044B"/>
    <w:rsid w:val="00512C06"/>
    <w:rsid w:val="005514FE"/>
    <w:rsid w:val="0055495D"/>
    <w:rsid w:val="00561B64"/>
    <w:rsid w:val="0056555B"/>
    <w:rsid w:val="005776C9"/>
    <w:rsid w:val="00590291"/>
    <w:rsid w:val="00590AEA"/>
    <w:rsid w:val="00590D38"/>
    <w:rsid w:val="005915F8"/>
    <w:rsid w:val="0059571D"/>
    <w:rsid w:val="00597082"/>
    <w:rsid w:val="00597BE8"/>
    <w:rsid w:val="005E278A"/>
    <w:rsid w:val="005E555F"/>
    <w:rsid w:val="005F4ECD"/>
    <w:rsid w:val="00601898"/>
    <w:rsid w:val="00601A05"/>
    <w:rsid w:val="006114DA"/>
    <w:rsid w:val="00615797"/>
    <w:rsid w:val="00617DCC"/>
    <w:rsid w:val="00642129"/>
    <w:rsid w:val="0067163D"/>
    <w:rsid w:val="00685E9D"/>
    <w:rsid w:val="006D2C69"/>
    <w:rsid w:val="006E2CC3"/>
    <w:rsid w:val="007148E3"/>
    <w:rsid w:val="00715AB1"/>
    <w:rsid w:val="00722EF6"/>
    <w:rsid w:val="00742142"/>
    <w:rsid w:val="007522CC"/>
    <w:rsid w:val="007560AC"/>
    <w:rsid w:val="00757CA0"/>
    <w:rsid w:val="0076392E"/>
    <w:rsid w:val="00780D43"/>
    <w:rsid w:val="007F6324"/>
    <w:rsid w:val="00821AB0"/>
    <w:rsid w:val="00823DB0"/>
    <w:rsid w:val="008263BA"/>
    <w:rsid w:val="00834818"/>
    <w:rsid w:val="008355D5"/>
    <w:rsid w:val="00845508"/>
    <w:rsid w:val="00845CFD"/>
    <w:rsid w:val="00847363"/>
    <w:rsid w:val="0085016C"/>
    <w:rsid w:val="00860B2D"/>
    <w:rsid w:val="008A3C1A"/>
    <w:rsid w:val="008B4302"/>
    <w:rsid w:val="008D32A8"/>
    <w:rsid w:val="008D586B"/>
    <w:rsid w:val="008E4EBA"/>
    <w:rsid w:val="008F636D"/>
    <w:rsid w:val="0090122A"/>
    <w:rsid w:val="00915A14"/>
    <w:rsid w:val="009231B6"/>
    <w:rsid w:val="0092657C"/>
    <w:rsid w:val="00927AB3"/>
    <w:rsid w:val="00931257"/>
    <w:rsid w:val="00931533"/>
    <w:rsid w:val="00937213"/>
    <w:rsid w:val="009439B3"/>
    <w:rsid w:val="00956AB5"/>
    <w:rsid w:val="00977207"/>
    <w:rsid w:val="009B475B"/>
    <w:rsid w:val="009E6C62"/>
    <w:rsid w:val="009F1431"/>
    <w:rsid w:val="009F76CE"/>
    <w:rsid w:val="00A3223A"/>
    <w:rsid w:val="00A55BC4"/>
    <w:rsid w:val="00AC5473"/>
    <w:rsid w:val="00AE74FC"/>
    <w:rsid w:val="00AF1A95"/>
    <w:rsid w:val="00B1098D"/>
    <w:rsid w:val="00B14506"/>
    <w:rsid w:val="00B22E00"/>
    <w:rsid w:val="00B33A36"/>
    <w:rsid w:val="00B53BCA"/>
    <w:rsid w:val="00B6545C"/>
    <w:rsid w:val="00B82B0D"/>
    <w:rsid w:val="00B9781D"/>
    <w:rsid w:val="00BA1AFB"/>
    <w:rsid w:val="00BC1820"/>
    <w:rsid w:val="00BE7C5D"/>
    <w:rsid w:val="00C53134"/>
    <w:rsid w:val="00C54DE9"/>
    <w:rsid w:val="00C55B21"/>
    <w:rsid w:val="00C57618"/>
    <w:rsid w:val="00C6157A"/>
    <w:rsid w:val="00C721ED"/>
    <w:rsid w:val="00CC152E"/>
    <w:rsid w:val="00CC1CC2"/>
    <w:rsid w:val="00CE5ED3"/>
    <w:rsid w:val="00CE6E4D"/>
    <w:rsid w:val="00D06D4E"/>
    <w:rsid w:val="00D352F9"/>
    <w:rsid w:val="00D3678A"/>
    <w:rsid w:val="00D852EA"/>
    <w:rsid w:val="00D9018C"/>
    <w:rsid w:val="00DA461D"/>
    <w:rsid w:val="00DA66AC"/>
    <w:rsid w:val="00DC3E29"/>
    <w:rsid w:val="00DC5A1D"/>
    <w:rsid w:val="00DC723D"/>
    <w:rsid w:val="00DE14ED"/>
    <w:rsid w:val="00E01B41"/>
    <w:rsid w:val="00E273EA"/>
    <w:rsid w:val="00E33357"/>
    <w:rsid w:val="00E37546"/>
    <w:rsid w:val="00E50469"/>
    <w:rsid w:val="00E5178A"/>
    <w:rsid w:val="00E7285C"/>
    <w:rsid w:val="00E859C0"/>
    <w:rsid w:val="00EB3899"/>
    <w:rsid w:val="00EE4D2C"/>
    <w:rsid w:val="00F279D0"/>
    <w:rsid w:val="00F470D8"/>
    <w:rsid w:val="00F50044"/>
    <w:rsid w:val="00F66E81"/>
    <w:rsid w:val="00F73DF4"/>
    <w:rsid w:val="00F75344"/>
    <w:rsid w:val="00F81EE4"/>
    <w:rsid w:val="00FA5FF8"/>
    <w:rsid w:val="00FB4088"/>
    <w:rsid w:val="00FD019A"/>
    <w:rsid w:val="00FD6DC8"/>
    <w:rsid w:val="00FF5EA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B87C1F-8398-4B66-8D32-3869E6F3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860B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860B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Kommentarsreferens">
    <w:name w:val="annotation reference"/>
    <w:basedOn w:val="Standardstycketeckensnitt"/>
    <w:uiPriority w:val="99"/>
    <w:semiHidden/>
    <w:unhideWhenUsed/>
    <w:rsid w:val="00D352F9"/>
    <w:rPr>
      <w:sz w:val="16"/>
      <w:szCs w:val="16"/>
    </w:rPr>
  </w:style>
  <w:style w:type="paragraph" w:styleId="Kommentarer">
    <w:name w:val="annotation text"/>
    <w:basedOn w:val="Normal"/>
    <w:link w:val="KommentarerChar"/>
    <w:uiPriority w:val="99"/>
    <w:semiHidden/>
    <w:unhideWhenUsed/>
    <w:rsid w:val="00D352F9"/>
    <w:pPr>
      <w:spacing w:line="240" w:lineRule="auto"/>
    </w:pPr>
    <w:rPr>
      <w:sz w:val="20"/>
      <w:szCs w:val="20"/>
    </w:rPr>
  </w:style>
  <w:style w:type="character" w:customStyle="1" w:styleId="KommentarerChar">
    <w:name w:val="Kommentarer Char"/>
    <w:basedOn w:val="Standardstycketeckensnitt"/>
    <w:link w:val="Kommentarer"/>
    <w:uiPriority w:val="99"/>
    <w:semiHidden/>
    <w:rsid w:val="00D352F9"/>
    <w:rPr>
      <w:sz w:val="20"/>
      <w:szCs w:val="20"/>
    </w:rPr>
  </w:style>
  <w:style w:type="paragraph" w:styleId="Kommentarsmne">
    <w:name w:val="annotation subject"/>
    <w:basedOn w:val="Kommentarer"/>
    <w:next w:val="Kommentarer"/>
    <w:link w:val="KommentarsmneChar"/>
    <w:uiPriority w:val="99"/>
    <w:semiHidden/>
    <w:unhideWhenUsed/>
    <w:rsid w:val="00D352F9"/>
    <w:rPr>
      <w:b/>
      <w:bCs/>
    </w:rPr>
  </w:style>
  <w:style w:type="character" w:customStyle="1" w:styleId="KommentarsmneChar">
    <w:name w:val="Kommentarsämne Char"/>
    <w:basedOn w:val="KommentarerChar"/>
    <w:link w:val="Kommentarsmne"/>
    <w:uiPriority w:val="99"/>
    <w:semiHidden/>
    <w:rsid w:val="00D352F9"/>
    <w:rPr>
      <w:b/>
      <w:bCs/>
      <w:sz w:val="20"/>
      <w:szCs w:val="20"/>
    </w:rPr>
  </w:style>
  <w:style w:type="paragraph" w:styleId="Ballongtext">
    <w:name w:val="Balloon Text"/>
    <w:basedOn w:val="Normal"/>
    <w:link w:val="BallongtextChar"/>
    <w:uiPriority w:val="99"/>
    <w:semiHidden/>
    <w:unhideWhenUsed/>
    <w:rsid w:val="00D352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352F9"/>
    <w:rPr>
      <w:rFonts w:ascii="Segoe UI" w:hAnsi="Segoe UI" w:cs="Segoe UI"/>
      <w:sz w:val="18"/>
      <w:szCs w:val="18"/>
    </w:rPr>
  </w:style>
  <w:style w:type="character" w:customStyle="1" w:styleId="Rubrik1Char">
    <w:name w:val="Rubrik 1 Char"/>
    <w:basedOn w:val="Standardstycketeckensnitt"/>
    <w:link w:val="Rubrik1"/>
    <w:uiPriority w:val="9"/>
    <w:rsid w:val="00860B2D"/>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860B2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6005352508996"/>
          <c:y val="3.7007874015748031E-2"/>
          <c:w val="0.86402957568343097"/>
          <c:h val="0.7399867998956271"/>
        </c:manualLayout>
      </c:layout>
      <c:barChart>
        <c:barDir val="col"/>
        <c:grouping val="clustered"/>
        <c:varyColors val="0"/>
        <c:ser>
          <c:idx val="0"/>
          <c:order val="0"/>
          <c:tx>
            <c:strRef>
              <c:f>Artuppgifter!$Q$3</c:f>
              <c:strCache>
                <c:ptCount val="1"/>
                <c:pt idx="0">
                  <c:v>Längdfördelning Öring</c:v>
                </c:pt>
              </c:strCache>
            </c:strRef>
          </c:tx>
          <c:spPr>
            <a:solidFill>
              <a:srgbClr val="00B050"/>
            </a:solidFill>
            <a:ln w="25400">
              <a:noFill/>
            </a:ln>
          </c:spPr>
          <c:invertIfNegative val="0"/>
          <c:cat>
            <c:strRef>
              <c:f>Artuppgifter!$Q$6:$Q$56</c:f>
              <c:strCache>
                <c:ptCount val="51"/>
                <c:pt idx="0">
                  <c:v>1 - 5</c:v>
                </c:pt>
                <c:pt idx="1">
                  <c:v>6 - 10</c:v>
                </c:pt>
                <c:pt idx="2">
                  <c:v>11 - 15</c:v>
                </c:pt>
                <c:pt idx="3">
                  <c:v>16 - 20</c:v>
                </c:pt>
                <c:pt idx="4">
                  <c:v>21 - 25</c:v>
                </c:pt>
                <c:pt idx="5">
                  <c:v>26 - 30</c:v>
                </c:pt>
                <c:pt idx="6">
                  <c:v>31 - 35</c:v>
                </c:pt>
                <c:pt idx="7">
                  <c:v>36 - 40</c:v>
                </c:pt>
                <c:pt idx="8">
                  <c:v>41 - 45</c:v>
                </c:pt>
                <c:pt idx="9">
                  <c:v>46 - 50</c:v>
                </c:pt>
                <c:pt idx="10">
                  <c:v>51 - 55</c:v>
                </c:pt>
                <c:pt idx="11">
                  <c:v>56 - 60</c:v>
                </c:pt>
                <c:pt idx="12">
                  <c:v>61 - 65</c:v>
                </c:pt>
                <c:pt idx="13">
                  <c:v>66 - 70</c:v>
                </c:pt>
                <c:pt idx="14">
                  <c:v>71 - 75</c:v>
                </c:pt>
                <c:pt idx="15">
                  <c:v>76 - 80</c:v>
                </c:pt>
                <c:pt idx="16">
                  <c:v>81 - 85</c:v>
                </c:pt>
                <c:pt idx="17">
                  <c:v>86 - 90</c:v>
                </c:pt>
                <c:pt idx="18">
                  <c:v>91 - 95</c:v>
                </c:pt>
                <c:pt idx="19">
                  <c:v>96 - 100</c:v>
                </c:pt>
                <c:pt idx="20">
                  <c:v>101 - 105</c:v>
                </c:pt>
                <c:pt idx="21">
                  <c:v>106 - 110</c:v>
                </c:pt>
                <c:pt idx="22">
                  <c:v>111 - 115</c:v>
                </c:pt>
                <c:pt idx="23">
                  <c:v>116 - 120</c:v>
                </c:pt>
                <c:pt idx="24">
                  <c:v>121 - 125</c:v>
                </c:pt>
                <c:pt idx="25">
                  <c:v>126 - 130</c:v>
                </c:pt>
                <c:pt idx="26">
                  <c:v>131 - 135</c:v>
                </c:pt>
                <c:pt idx="27">
                  <c:v>136 - 140</c:v>
                </c:pt>
                <c:pt idx="28">
                  <c:v>141 - 145</c:v>
                </c:pt>
                <c:pt idx="29">
                  <c:v>146 - 150</c:v>
                </c:pt>
                <c:pt idx="30">
                  <c:v>151 - 155</c:v>
                </c:pt>
                <c:pt idx="31">
                  <c:v>156 - 160</c:v>
                </c:pt>
                <c:pt idx="32">
                  <c:v>161 - 165</c:v>
                </c:pt>
                <c:pt idx="33">
                  <c:v>166 - 170</c:v>
                </c:pt>
                <c:pt idx="34">
                  <c:v>171 - 175</c:v>
                </c:pt>
                <c:pt idx="35">
                  <c:v>176 - 180</c:v>
                </c:pt>
                <c:pt idx="36">
                  <c:v>181 - 185</c:v>
                </c:pt>
                <c:pt idx="37">
                  <c:v>186 - 190</c:v>
                </c:pt>
                <c:pt idx="38">
                  <c:v>191 - 195</c:v>
                </c:pt>
                <c:pt idx="39">
                  <c:v>196 - 200</c:v>
                </c:pt>
                <c:pt idx="40">
                  <c:v>201 - 205</c:v>
                </c:pt>
                <c:pt idx="41">
                  <c:v>206 - 210</c:v>
                </c:pt>
                <c:pt idx="42">
                  <c:v>211 - 215</c:v>
                </c:pt>
                <c:pt idx="43">
                  <c:v>216 - 220</c:v>
                </c:pt>
                <c:pt idx="44">
                  <c:v>221 - 225</c:v>
                </c:pt>
                <c:pt idx="45">
                  <c:v>226 - 230</c:v>
                </c:pt>
                <c:pt idx="46">
                  <c:v>231 - 235</c:v>
                </c:pt>
                <c:pt idx="47">
                  <c:v>236 - 240</c:v>
                </c:pt>
                <c:pt idx="48">
                  <c:v>241 - 245</c:v>
                </c:pt>
                <c:pt idx="49">
                  <c:v>246 - 250</c:v>
                </c:pt>
                <c:pt idx="50">
                  <c:v>&gt;250</c:v>
                </c:pt>
              </c:strCache>
            </c:strRef>
          </c:cat>
          <c:val>
            <c:numRef>
              <c:f>Artuppgifter!$R$6:$R$56</c:f>
              <c:numCache>
                <c:formatCode>General</c:formatCode>
                <c:ptCount val="51"/>
                <c:pt idx="0">
                  <c:v>0</c:v>
                </c:pt>
                <c:pt idx="1">
                  <c:v>0</c:v>
                </c:pt>
                <c:pt idx="2">
                  <c:v>0</c:v>
                </c:pt>
                <c:pt idx="3">
                  <c:v>0</c:v>
                </c:pt>
                <c:pt idx="4">
                  <c:v>0</c:v>
                </c:pt>
                <c:pt idx="5">
                  <c:v>0</c:v>
                </c:pt>
                <c:pt idx="6">
                  <c:v>0</c:v>
                </c:pt>
                <c:pt idx="7">
                  <c:v>0</c:v>
                </c:pt>
                <c:pt idx="8">
                  <c:v>1</c:v>
                </c:pt>
                <c:pt idx="9">
                  <c:v>3</c:v>
                </c:pt>
                <c:pt idx="10">
                  <c:v>29</c:v>
                </c:pt>
                <c:pt idx="11">
                  <c:v>37</c:v>
                </c:pt>
                <c:pt idx="12">
                  <c:v>56</c:v>
                </c:pt>
                <c:pt idx="13">
                  <c:v>49</c:v>
                </c:pt>
                <c:pt idx="14">
                  <c:v>31</c:v>
                </c:pt>
                <c:pt idx="15">
                  <c:v>17</c:v>
                </c:pt>
                <c:pt idx="16">
                  <c:v>3</c:v>
                </c:pt>
                <c:pt idx="17">
                  <c:v>0</c:v>
                </c:pt>
                <c:pt idx="18">
                  <c:v>2</c:v>
                </c:pt>
                <c:pt idx="19">
                  <c:v>3</c:v>
                </c:pt>
                <c:pt idx="20">
                  <c:v>6</c:v>
                </c:pt>
                <c:pt idx="21">
                  <c:v>3</c:v>
                </c:pt>
                <c:pt idx="22">
                  <c:v>8</c:v>
                </c:pt>
                <c:pt idx="23">
                  <c:v>5</c:v>
                </c:pt>
                <c:pt idx="24">
                  <c:v>6</c:v>
                </c:pt>
                <c:pt idx="25">
                  <c:v>4</c:v>
                </c:pt>
                <c:pt idx="26">
                  <c:v>0</c:v>
                </c:pt>
                <c:pt idx="27">
                  <c:v>3</c:v>
                </c:pt>
                <c:pt idx="28">
                  <c:v>3</c:v>
                </c:pt>
                <c:pt idx="29">
                  <c:v>1</c:v>
                </c:pt>
                <c:pt idx="30">
                  <c:v>0</c:v>
                </c:pt>
                <c:pt idx="31">
                  <c:v>1</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dLbls>
          <c:showLegendKey val="0"/>
          <c:showVal val="0"/>
          <c:showCatName val="0"/>
          <c:showSerName val="0"/>
          <c:showPercent val="0"/>
          <c:showBubbleSize val="0"/>
        </c:dLbls>
        <c:gapWidth val="55"/>
        <c:overlap val="-5"/>
        <c:axId val="679998800"/>
        <c:axId val="552698160"/>
      </c:barChart>
      <c:barChart>
        <c:barDir val="col"/>
        <c:grouping val="clustered"/>
        <c:varyColors val="0"/>
        <c:ser>
          <c:idx val="1"/>
          <c:order val="1"/>
          <c:tx>
            <c:strRef>
              <c:f>Artuppgifter!$S$5</c:f>
              <c:strCache>
                <c:ptCount val="1"/>
                <c:pt idx="0">
                  <c:v>0+ gräns</c:v>
                </c:pt>
              </c:strCache>
            </c:strRef>
          </c:tx>
          <c:spPr>
            <a:noFill/>
            <a:ln>
              <a:solidFill>
                <a:schemeClr val="tx1"/>
              </a:solidFill>
              <a:prstDash val="dash"/>
            </a:ln>
            <a:effectLst/>
          </c:spPr>
          <c:invertIfNegative val="0"/>
          <c:cat>
            <c:strRef>
              <c:f>Artuppgifter!$Q$6:$Q$56</c:f>
              <c:strCache>
                <c:ptCount val="51"/>
                <c:pt idx="0">
                  <c:v>1 - 5</c:v>
                </c:pt>
                <c:pt idx="1">
                  <c:v>6 - 10</c:v>
                </c:pt>
                <c:pt idx="2">
                  <c:v>11 - 15</c:v>
                </c:pt>
                <c:pt idx="3">
                  <c:v>16 - 20</c:v>
                </c:pt>
                <c:pt idx="4">
                  <c:v>21 - 25</c:v>
                </c:pt>
                <c:pt idx="5">
                  <c:v>26 - 30</c:v>
                </c:pt>
                <c:pt idx="6">
                  <c:v>31 - 35</c:v>
                </c:pt>
                <c:pt idx="7">
                  <c:v>36 - 40</c:v>
                </c:pt>
                <c:pt idx="8">
                  <c:v>41 - 45</c:v>
                </c:pt>
                <c:pt idx="9">
                  <c:v>46 - 50</c:v>
                </c:pt>
                <c:pt idx="10">
                  <c:v>51 - 55</c:v>
                </c:pt>
                <c:pt idx="11">
                  <c:v>56 - 60</c:v>
                </c:pt>
                <c:pt idx="12">
                  <c:v>61 - 65</c:v>
                </c:pt>
                <c:pt idx="13">
                  <c:v>66 - 70</c:v>
                </c:pt>
                <c:pt idx="14">
                  <c:v>71 - 75</c:v>
                </c:pt>
                <c:pt idx="15">
                  <c:v>76 - 80</c:v>
                </c:pt>
                <c:pt idx="16">
                  <c:v>81 - 85</c:v>
                </c:pt>
                <c:pt idx="17">
                  <c:v>86 - 90</c:v>
                </c:pt>
                <c:pt idx="18">
                  <c:v>91 - 95</c:v>
                </c:pt>
                <c:pt idx="19">
                  <c:v>96 - 100</c:v>
                </c:pt>
                <c:pt idx="20">
                  <c:v>101 - 105</c:v>
                </c:pt>
                <c:pt idx="21">
                  <c:v>106 - 110</c:v>
                </c:pt>
                <c:pt idx="22">
                  <c:v>111 - 115</c:v>
                </c:pt>
                <c:pt idx="23">
                  <c:v>116 - 120</c:v>
                </c:pt>
                <c:pt idx="24">
                  <c:v>121 - 125</c:v>
                </c:pt>
                <c:pt idx="25">
                  <c:v>126 - 130</c:v>
                </c:pt>
                <c:pt idx="26">
                  <c:v>131 - 135</c:v>
                </c:pt>
                <c:pt idx="27">
                  <c:v>136 - 140</c:v>
                </c:pt>
                <c:pt idx="28">
                  <c:v>141 - 145</c:v>
                </c:pt>
                <c:pt idx="29">
                  <c:v>146 - 150</c:v>
                </c:pt>
                <c:pt idx="30">
                  <c:v>151 - 155</c:v>
                </c:pt>
                <c:pt idx="31">
                  <c:v>156 - 160</c:v>
                </c:pt>
                <c:pt idx="32">
                  <c:v>161 - 165</c:v>
                </c:pt>
                <c:pt idx="33">
                  <c:v>166 - 170</c:v>
                </c:pt>
                <c:pt idx="34">
                  <c:v>171 - 175</c:v>
                </c:pt>
                <c:pt idx="35">
                  <c:v>176 - 180</c:v>
                </c:pt>
                <c:pt idx="36">
                  <c:v>181 - 185</c:v>
                </c:pt>
                <c:pt idx="37">
                  <c:v>186 - 190</c:v>
                </c:pt>
                <c:pt idx="38">
                  <c:v>191 - 195</c:v>
                </c:pt>
                <c:pt idx="39">
                  <c:v>196 - 200</c:v>
                </c:pt>
                <c:pt idx="40">
                  <c:v>201 - 205</c:v>
                </c:pt>
                <c:pt idx="41">
                  <c:v>206 - 210</c:v>
                </c:pt>
                <c:pt idx="42">
                  <c:v>211 - 215</c:v>
                </c:pt>
                <c:pt idx="43">
                  <c:v>216 - 220</c:v>
                </c:pt>
                <c:pt idx="44">
                  <c:v>221 - 225</c:v>
                </c:pt>
                <c:pt idx="45">
                  <c:v>226 - 230</c:v>
                </c:pt>
                <c:pt idx="46">
                  <c:v>231 - 235</c:v>
                </c:pt>
                <c:pt idx="47">
                  <c:v>236 - 240</c:v>
                </c:pt>
                <c:pt idx="48">
                  <c:v>241 - 245</c:v>
                </c:pt>
                <c:pt idx="49">
                  <c:v>246 - 250</c:v>
                </c:pt>
                <c:pt idx="50">
                  <c:v>&gt;250</c:v>
                </c:pt>
              </c:strCache>
            </c:strRef>
          </c:cat>
          <c:val>
            <c:numRef>
              <c:f>Artuppgifter!$S$6:$S$56</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
          <c:order val="2"/>
          <c:tx>
            <c:strRef>
              <c:f>Artuppgifter!$T$5</c:f>
              <c:strCache>
                <c:ptCount val="1"/>
                <c:pt idx="0">
                  <c:v>Osynlig</c:v>
                </c:pt>
              </c:strCache>
            </c:strRef>
          </c:tx>
          <c:spPr>
            <a:noFill/>
            <a:ln>
              <a:noFill/>
            </a:ln>
          </c:spPr>
          <c:invertIfNegative val="0"/>
          <c:val>
            <c:numRef>
              <c:f>Artuppgifter!$T$6:$T$56</c:f>
              <c:numCache>
                <c:formatCode>General</c:formatCode>
                <c:ptCount val="51"/>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pt idx="43">
                  <c:v>90</c:v>
                </c:pt>
                <c:pt idx="44">
                  <c:v>90</c:v>
                </c:pt>
                <c:pt idx="45">
                  <c:v>90</c:v>
                </c:pt>
                <c:pt idx="46">
                  <c:v>90</c:v>
                </c:pt>
                <c:pt idx="47">
                  <c:v>90</c:v>
                </c:pt>
                <c:pt idx="48">
                  <c:v>90</c:v>
                </c:pt>
                <c:pt idx="49">
                  <c:v>90</c:v>
                </c:pt>
                <c:pt idx="50">
                  <c:v>90</c:v>
                </c:pt>
              </c:numCache>
            </c:numRef>
          </c:val>
        </c:ser>
        <c:dLbls>
          <c:showLegendKey val="0"/>
          <c:showVal val="0"/>
          <c:showCatName val="0"/>
          <c:showSerName val="0"/>
          <c:showPercent val="0"/>
          <c:showBubbleSize val="0"/>
        </c:dLbls>
        <c:gapWidth val="500"/>
        <c:overlap val="5"/>
        <c:axId val="552697376"/>
        <c:axId val="552698552"/>
      </c:barChart>
      <c:catAx>
        <c:axId val="679998800"/>
        <c:scaling>
          <c:orientation val="minMax"/>
        </c:scaling>
        <c:delete val="0"/>
        <c:axPos val="b"/>
        <c:title>
          <c:tx>
            <c:rich>
              <a:bodyPr/>
              <a:lstStyle/>
              <a:p>
                <a:pPr>
                  <a:defRPr sz="1200" b="1" i="0" u="none" strike="noStrike" baseline="0">
                    <a:solidFill>
                      <a:srgbClr val="333333"/>
                    </a:solidFill>
                    <a:latin typeface="Calibri"/>
                    <a:ea typeface="Calibri"/>
                    <a:cs typeface="Calibri"/>
                  </a:defRPr>
                </a:pPr>
                <a:r>
                  <a:rPr lang="sv-SE"/>
                  <a:t>Längdintervall (mm)</a:t>
                </a:r>
              </a:p>
            </c:rich>
          </c:tx>
          <c:layout>
            <c:manualLayout>
              <c:xMode val="edge"/>
              <c:yMode val="edge"/>
              <c:x val="0.40898384164243623"/>
              <c:y val="0.93118920388651205"/>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333333"/>
                </a:solidFill>
                <a:latin typeface="Calibri"/>
                <a:ea typeface="Calibri"/>
                <a:cs typeface="Calibri"/>
              </a:defRPr>
            </a:pPr>
            <a:endParaRPr lang="sv-SE"/>
          </a:p>
        </c:txPr>
        <c:crossAx val="552698160"/>
        <c:crosses val="autoZero"/>
        <c:auto val="1"/>
        <c:lblAlgn val="ctr"/>
        <c:lblOffset val="100"/>
        <c:noMultiLvlLbl val="0"/>
      </c:catAx>
      <c:valAx>
        <c:axId val="552698160"/>
        <c:scaling>
          <c:orientation val="minMax"/>
        </c:scaling>
        <c:delete val="0"/>
        <c:axPos val="l"/>
        <c:title>
          <c:tx>
            <c:rich>
              <a:bodyPr/>
              <a:lstStyle/>
              <a:p>
                <a:pPr>
                  <a:defRPr sz="1200" b="1" i="0" u="none" strike="noStrike" baseline="0">
                    <a:solidFill>
                      <a:srgbClr val="333333"/>
                    </a:solidFill>
                    <a:latin typeface="Calibri"/>
                    <a:ea typeface="Calibri"/>
                    <a:cs typeface="Calibri"/>
                  </a:defRPr>
                </a:pPr>
                <a:r>
                  <a:rPr lang="sv-SE"/>
                  <a:t>Antal fångade</a:t>
                </a:r>
              </a:p>
            </c:rich>
          </c:tx>
          <c:layout>
            <c:manualLayout>
              <c:xMode val="edge"/>
              <c:yMode val="edge"/>
              <c:x val="2.9877751130165334E-3"/>
              <c:y val="0.33360939554860081"/>
            </c:manualLayout>
          </c:layout>
          <c:overlay val="0"/>
          <c:spPr>
            <a:noFill/>
            <a:ln w="25400">
              <a:noFill/>
            </a:ln>
          </c:spPr>
        </c:title>
        <c:numFmt formatCode="General" sourceLinked="1"/>
        <c:majorTickMark val="out"/>
        <c:minorTickMark val="none"/>
        <c:tickLblPos val="nextTo"/>
        <c:spPr>
          <a:noFill/>
          <a:ln>
            <a:solidFill>
              <a:schemeClr val="tx1"/>
            </a:solidFill>
          </a:ln>
          <a:effectLst/>
        </c:spPr>
        <c:txPr>
          <a:bodyPr rot="0" vert="horz"/>
          <a:lstStyle/>
          <a:p>
            <a:pPr>
              <a:defRPr sz="900" b="0" i="0" u="none" strike="noStrike" baseline="0">
                <a:solidFill>
                  <a:srgbClr val="333333"/>
                </a:solidFill>
                <a:latin typeface="Calibri"/>
                <a:ea typeface="Calibri"/>
                <a:cs typeface="Calibri"/>
              </a:defRPr>
            </a:pPr>
            <a:endParaRPr lang="sv-SE"/>
          </a:p>
        </c:txPr>
        <c:crossAx val="679998800"/>
        <c:crosses val="autoZero"/>
        <c:crossBetween val="between"/>
      </c:valAx>
      <c:catAx>
        <c:axId val="552697376"/>
        <c:scaling>
          <c:orientation val="minMax"/>
        </c:scaling>
        <c:delete val="1"/>
        <c:axPos val="b"/>
        <c:numFmt formatCode="General" sourceLinked="1"/>
        <c:majorTickMark val="out"/>
        <c:minorTickMark val="none"/>
        <c:tickLblPos val="nextTo"/>
        <c:crossAx val="552698552"/>
        <c:crosses val="autoZero"/>
        <c:auto val="1"/>
        <c:lblAlgn val="ctr"/>
        <c:lblOffset val="100"/>
        <c:noMultiLvlLbl val="0"/>
      </c:catAx>
      <c:valAx>
        <c:axId val="552698552"/>
        <c:scaling>
          <c:orientation val="minMax"/>
        </c:scaling>
        <c:delete val="1"/>
        <c:axPos val="r"/>
        <c:numFmt formatCode="General" sourceLinked="1"/>
        <c:majorTickMark val="out"/>
        <c:minorTickMark val="none"/>
        <c:tickLblPos val="nextTo"/>
        <c:crossAx val="552697376"/>
        <c:crosses val="max"/>
        <c:crossBetween val="between"/>
      </c:valAx>
      <c:spPr>
        <a:noFill/>
        <a:ln w="25400">
          <a:noFill/>
        </a:ln>
      </c:spPr>
    </c:plotArea>
    <c:legend>
      <c:legendPos val="r"/>
      <c:legendEntry>
        <c:idx val="1"/>
        <c:delete val="1"/>
      </c:legendEntry>
      <c:legendEntry>
        <c:idx val="2"/>
        <c:delete val="1"/>
      </c:legendEntry>
      <c:layout>
        <c:manualLayout>
          <c:xMode val="edge"/>
          <c:yMode val="edge"/>
          <c:x val="0.31266846361185985"/>
          <c:y val="1.4799154334038054E-2"/>
          <c:w val="0.41778975741239888"/>
          <c:h val="0.14376321353065538"/>
        </c:manualLayout>
      </c:layout>
      <c:overlay val="0"/>
      <c:spPr>
        <a:noFill/>
        <a:ln w="25400">
          <a:noFill/>
        </a:ln>
      </c:spPr>
      <c:txPr>
        <a:bodyPr/>
        <a:lstStyle/>
        <a:p>
          <a:pPr>
            <a:defRPr sz="770" b="1" i="0" u="none" strike="noStrike" baseline="0">
              <a:solidFill>
                <a:srgbClr val="333333"/>
              </a:solidFill>
              <a:latin typeface="Calibri"/>
              <a:ea typeface="Calibri"/>
              <a:cs typeface="Calibri"/>
            </a:defRPr>
          </a:pPr>
          <a:endParaRPr lang="sv-SE"/>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sv-SE"/>
    </a:p>
  </c:tx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4</Pages>
  <Words>479</Words>
  <Characters>2541</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2</cp:revision>
  <dcterms:created xsi:type="dcterms:W3CDTF">2016-10-17T07:06:00Z</dcterms:created>
  <dcterms:modified xsi:type="dcterms:W3CDTF">2016-10-18T07:59:00Z</dcterms:modified>
</cp:coreProperties>
</file>