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D02" w:rsidRPr="004D0022" w:rsidRDefault="00F25D02" w:rsidP="00F25D02">
      <w:pPr>
        <w:rPr>
          <w:rFonts w:ascii="Times New Roman" w:hAnsi="Times New Roman" w:cs="Times New Roman"/>
          <w:smallCaps/>
          <w:sz w:val="40"/>
          <w:szCs w:val="40"/>
        </w:rPr>
      </w:pPr>
    </w:p>
    <w:p w:rsidR="00F25D02" w:rsidRPr="004D0022" w:rsidRDefault="00F25D02" w:rsidP="00F25D02">
      <w:pPr>
        <w:rPr>
          <w:rFonts w:ascii="Times New Roman" w:hAnsi="Times New Roman" w:cs="Times New Roman"/>
          <w:smallCaps/>
          <w:sz w:val="40"/>
          <w:szCs w:val="40"/>
        </w:rPr>
      </w:pPr>
    </w:p>
    <w:p w:rsidR="00F25D02" w:rsidRPr="004D0022" w:rsidRDefault="00F25D02" w:rsidP="00F25D02">
      <w:pPr>
        <w:rPr>
          <w:rFonts w:ascii="Times New Roman" w:hAnsi="Times New Roman" w:cs="Times New Roman"/>
          <w:smallCaps/>
          <w:sz w:val="40"/>
          <w:szCs w:val="40"/>
        </w:rPr>
      </w:pPr>
    </w:p>
    <w:p w:rsidR="00F25D02" w:rsidRPr="004D0022" w:rsidRDefault="00F25D02" w:rsidP="00F25D02">
      <w:pPr>
        <w:rPr>
          <w:rFonts w:ascii="Times New Roman" w:hAnsi="Times New Roman" w:cs="Times New Roman"/>
          <w:smallCaps/>
          <w:sz w:val="40"/>
          <w:szCs w:val="40"/>
        </w:rPr>
      </w:pPr>
    </w:p>
    <w:p w:rsidR="00F25D02" w:rsidRPr="004D0022" w:rsidRDefault="00F25D02" w:rsidP="00F25D02">
      <w:pPr>
        <w:rPr>
          <w:rFonts w:ascii="Times New Roman" w:hAnsi="Times New Roman" w:cs="Times New Roman"/>
          <w:smallCaps/>
          <w:sz w:val="40"/>
          <w:szCs w:val="40"/>
        </w:rPr>
      </w:pPr>
    </w:p>
    <w:p w:rsidR="00B628C8" w:rsidRPr="004D0022" w:rsidRDefault="00B628C8" w:rsidP="00F25D02">
      <w:pPr>
        <w:rPr>
          <w:rFonts w:ascii="Times New Roman" w:hAnsi="Times New Roman" w:cs="Times New Roman"/>
          <w:smallCaps/>
          <w:sz w:val="40"/>
          <w:szCs w:val="40"/>
        </w:rPr>
      </w:pPr>
    </w:p>
    <w:p w:rsidR="00B628C8" w:rsidRPr="004D0022" w:rsidRDefault="00F84FA0" w:rsidP="00F25D02">
      <w:pPr>
        <w:rPr>
          <w:rFonts w:ascii="Times New Roman" w:hAnsi="Times New Roman" w:cs="Times New Roman"/>
          <w:smallCaps/>
          <w:sz w:val="40"/>
          <w:szCs w:val="40"/>
        </w:rPr>
      </w:pPr>
      <w:bookmarkStart w:id="0" w:name="xxLogoSv"/>
      <w:r w:rsidRPr="004D0022">
        <w:rPr>
          <w:noProof/>
          <w:lang w:eastAsia="en-GB"/>
        </w:rPr>
        <w:drawing>
          <wp:anchor distT="0" distB="0" distL="114300" distR="114300" simplePos="0" relativeHeight="251658240" behindDoc="1" locked="0" layoutInCell="1" allowOverlap="1" wp14:anchorId="2EA7FD77" wp14:editId="7DB37D2B">
            <wp:simplePos x="0" y="0"/>
            <wp:positionH relativeFrom="margin">
              <wp:posOffset>4648200</wp:posOffset>
            </wp:positionH>
            <wp:positionV relativeFrom="paragraph">
              <wp:posOffset>285115</wp:posOffset>
            </wp:positionV>
            <wp:extent cx="1696085" cy="1419225"/>
            <wp:effectExtent l="0" t="0" r="0" b="9525"/>
            <wp:wrapNone/>
            <wp:docPr id="2068" name="Bildobjekt 10" descr="mdh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h_logg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085" cy="1419225"/>
                    </a:xfrm>
                    <a:prstGeom prst="rect">
                      <a:avLst/>
                    </a:prstGeom>
                  </pic:spPr>
                </pic:pic>
              </a:graphicData>
            </a:graphic>
            <wp14:sizeRelH relativeFrom="margin">
              <wp14:pctWidth>0</wp14:pctWidth>
            </wp14:sizeRelH>
            <wp14:sizeRelV relativeFrom="margin">
              <wp14:pctHeight>0</wp14:pctHeight>
            </wp14:sizeRelV>
          </wp:anchor>
        </w:drawing>
      </w:r>
      <w:bookmarkEnd w:id="0"/>
      <w:r w:rsidR="0071078D" w:rsidRPr="004D0022">
        <w:rPr>
          <w:rFonts w:ascii="Times New Roman" w:hAnsi="Times New Roman" w:cs="Times New Roman"/>
          <w:smallCaps/>
          <w:sz w:val="40"/>
          <w:szCs w:val="40"/>
        </w:rPr>
        <w:br/>
      </w:r>
    </w:p>
    <w:p w:rsidR="00F25D02" w:rsidRPr="004D0022" w:rsidRDefault="0071078D" w:rsidP="00F25D02">
      <w:pPr>
        <w:rPr>
          <w:rFonts w:ascii="Times New Roman" w:hAnsi="Times New Roman" w:cs="Times New Roman"/>
          <w:b/>
          <w:smallCaps/>
          <w:sz w:val="40"/>
          <w:szCs w:val="40"/>
        </w:rPr>
      </w:pPr>
      <w:r w:rsidRPr="004D0022">
        <w:rPr>
          <w:rFonts w:ascii="Times New Roman" w:hAnsi="Times New Roman" w:cs="Times New Roman"/>
          <w:b/>
          <w:smallCaps/>
          <w:sz w:val="40"/>
          <w:szCs w:val="40"/>
        </w:rPr>
        <w:t xml:space="preserve">Enkätstudier av hushålls attityder </w:t>
      </w:r>
      <w:r w:rsidRPr="004D0022">
        <w:rPr>
          <w:rFonts w:ascii="Times New Roman" w:hAnsi="Times New Roman" w:cs="Times New Roman"/>
          <w:b/>
          <w:smallCaps/>
          <w:sz w:val="40"/>
          <w:szCs w:val="40"/>
        </w:rPr>
        <w:br/>
        <w:t>och erfarenheter att spara energi</w:t>
      </w:r>
    </w:p>
    <w:p w:rsidR="0071078D" w:rsidRPr="004D0022" w:rsidRDefault="0071078D" w:rsidP="00F25D02">
      <w:pPr>
        <w:rPr>
          <w:rFonts w:ascii="Times New Roman" w:hAnsi="Times New Roman" w:cs="Times New Roman"/>
          <w:smallCaps/>
          <w:sz w:val="28"/>
          <w:szCs w:val="40"/>
        </w:rPr>
      </w:pPr>
      <w:r w:rsidRPr="004D0022">
        <w:rPr>
          <w:rFonts w:ascii="Times New Roman" w:hAnsi="Times New Roman" w:cs="Times New Roman"/>
          <w:smallCaps/>
          <w:sz w:val="28"/>
          <w:szCs w:val="40"/>
        </w:rPr>
        <w:t xml:space="preserve">Ett delprojekt inom ramen för energispartävlingen </w:t>
      </w:r>
      <w:r w:rsidRPr="004D0022">
        <w:rPr>
          <w:rFonts w:ascii="Times New Roman" w:hAnsi="Times New Roman" w:cs="Times New Roman"/>
          <w:smallCaps/>
          <w:sz w:val="28"/>
          <w:szCs w:val="40"/>
        </w:rPr>
        <w:br/>
        <w:t>Energismarta grannar.</w:t>
      </w:r>
    </w:p>
    <w:p w:rsidR="0071078D" w:rsidRPr="004D0022" w:rsidRDefault="0071078D" w:rsidP="00F25D02">
      <w:pPr>
        <w:rPr>
          <w:rFonts w:ascii="Times New Roman" w:hAnsi="Times New Roman" w:cs="Times New Roman"/>
          <w:smallCaps/>
          <w:sz w:val="28"/>
          <w:szCs w:val="40"/>
        </w:rPr>
      </w:pPr>
    </w:p>
    <w:p w:rsidR="00BC3441" w:rsidRPr="004D0022" w:rsidRDefault="00BC3441" w:rsidP="00F25D02">
      <w:pPr>
        <w:rPr>
          <w:rFonts w:ascii="Times New Roman" w:hAnsi="Times New Roman" w:cs="Times New Roman"/>
          <w:smallCaps/>
          <w:sz w:val="28"/>
          <w:szCs w:val="40"/>
        </w:rPr>
      </w:pPr>
      <w:r w:rsidRPr="004D0022">
        <w:rPr>
          <w:rFonts w:ascii="Times New Roman" w:hAnsi="Times New Roman" w:cs="Times New Roman"/>
          <w:smallCaps/>
          <w:sz w:val="28"/>
          <w:szCs w:val="40"/>
        </w:rPr>
        <w:t>Mälardalen</w:t>
      </w:r>
      <w:r w:rsidR="0071078D" w:rsidRPr="004D0022">
        <w:rPr>
          <w:rFonts w:ascii="Times New Roman" w:hAnsi="Times New Roman" w:cs="Times New Roman"/>
          <w:smallCaps/>
          <w:sz w:val="28"/>
          <w:szCs w:val="40"/>
        </w:rPr>
        <w:t>s Högskola</w:t>
      </w:r>
      <w:r w:rsidRPr="004D0022">
        <w:rPr>
          <w:rFonts w:ascii="Times New Roman" w:hAnsi="Times New Roman" w:cs="Times New Roman"/>
          <w:smallCaps/>
          <w:sz w:val="28"/>
          <w:szCs w:val="40"/>
        </w:rPr>
        <w:t>, 2014</w:t>
      </w:r>
    </w:p>
    <w:p w:rsidR="00360C88" w:rsidRPr="004D0022" w:rsidRDefault="00360C88" w:rsidP="00F25D02">
      <w:pPr>
        <w:rPr>
          <w:rFonts w:ascii="Times New Roman" w:hAnsi="Times New Roman" w:cs="Times New Roman"/>
          <w:smallCaps/>
          <w:sz w:val="28"/>
          <w:szCs w:val="40"/>
        </w:rPr>
      </w:pPr>
    </w:p>
    <w:p w:rsidR="0022201E" w:rsidRPr="004D0022" w:rsidRDefault="0071078D" w:rsidP="00F25D02">
      <w:pPr>
        <w:rPr>
          <w:rFonts w:ascii="Times New Roman" w:hAnsi="Times New Roman" w:cs="Times New Roman"/>
          <w:smallCaps/>
          <w:sz w:val="24"/>
          <w:szCs w:val="40"/>
        </w:rPr>
      </w:pPr>
      <w:r w:rsidRPr="004D0022">
        <w:rPr>
          <w:rFonts w:ascii="Times New Roman" w:hAnsi="Times New Roman" w:cs="Times New Roman"/>
          <w:smallCaps/>
          <w:sz w:val="24"/>
          <w:szCs w:val="40"/>
        </w:rPr>
        <w:t>Fredrik Wallin</w:t>
      </w:r>
    </w:p>
    <w:p w:rsidR="0022201E" w:rsidRPr="004D0022" w:rsidRDefault="0022201E" w:rsidP="00F25D02">
      <w:pPr>
        <w:rPr>
          <w:rFonts w:ascii="Times New Roman" w:hAnsi="Times New Roman" w:cs="Times New Roman"/>
          <w:smallCaps/>
          <w:sz w:val="24"/>
          <w:szCs w:val="40"/>
        </w:rPr>
      </w:pPr>
    </w:p>
    <w:p w:rsidR="00360C88" w:rsidRPr="004D0022" w:rsidRDefault="00360C88" w:rsidP="00F25D02">
      <w:pPr>
        <w:rPr>
          <w:rFonts w:ascii="Times New Roman" w:hAnsi="Times New Roman" w:cs="Times New Roman"/>
          <w:smallCaps/>
          <w:sz w:val="24"/>
          <w:szCs w:val="40"/>
        </w:rPr>
      </w:pPr>
    </w:p>
    <w:p w:rsidR="00D561F5" w:rsidRPr="004D0022" w:rsidRDefault="00D561F5" w:rsidP="00F25D02">
      <w:pPr>
        <w:rPr>
          <w:rFonts w:ascii="Times New Roman" w:hAnsi="Times New Roman" w:cs="Times New Roman"/>
          <w:smallCaps/>
          <w:sz w:val="40"/>
          <w:szCs w:val="40"/>
        </w:rPr>
      </w:pPr>
    </w:p>
    <w:p w:rsidR="0022201E" w:rsidRPr="004D0022" w:rsidRDefault="0022201E" w:rsidP="00F25D02">
      <w:pPr>
        <w:rPr>
          <w:rFonts w:ascii="Times New Roman" w:hAnsi="Times New Roman" w:cs="Times New Roman"/>
          <w:smallCaps/>
          <w:sz w:val="40"/>
          <w:szCs w:val="40"/>
        </w:rPr>
        <w:sectPr w:rsidR="0022201E" w:rsidRPr="004D0022">
          <w:footerReference w:type="default" r:id="rId9"/>
          <w:pgSz w:w="11906" w:h="16838"/>
          <w:pgMar w:top="1417" w:right="1417" w:bottom="1417" w:left="1417" w:header="708" w:footer="708" w:gutter="0"/>
          <w:cols w:space="708"/>
          <w:docGrid w:linePitch="360"/>
        </w:sectPr>
      </w:pPr>
    </w:p>
    <w:p w:rsidR="00D523A6" w:rsidRPr="004D0022" w:rsidRDefault="00D523A6" w:rsidP="004D0022">
      <w:pPr>
        <w:pStyle w:val="Body"/>
        <w:rPr>
          <w:lang w:val="sv-SE"/>
        </w:rPr>
      </w:pPr>
    </w:p>
    <w:p w:rsidR="00D523A6" w:rsidRPr="004D0022" w:rsidRDefault="00D523A6" w:rsidP="00D523A6">
      <w:pPr>
        <w:rPr>
          <w:rFonts w:ascii="Times New Roman" w:hAnsi="Times New Roman" w:cs="Times New Roman"/>
          <w:sz w:val="40"/>
          <w:szCs w:val="40"/>
        </w:rPr>
      </w:pPr>
    </w:p>
    <w:p w:rsidR="00D523A6" w:rsidRPr="004D0022" w:rsidRDefault="00D523A6" w:rsidP="00D523A6">
      <w:pPr>
        <w:rPr>
          <w:rFonts w:ascii="Times New Roman" w:hAnsi="Times New Roman" w:cs="Times New Roman"/>
          <w:sz w:val="40"/>
          <w:szCs w:val="40"/>
        </w:rPr>
      </w:pPr>
    </w:p>
    <w:p w:rsidR="00D523A6" w:rsidRPr="004D0022" w:rsidRDefault="00D523A6" w:rsidP="00D523A6">
      <w:pPr>
        <w:rPr>
          <w:rFonts w:ascii="Times New Roman" w:hAnsi="Times New Roman" w:cs="Times New Roman"/>
          <w:sz w:val="40"/>
          <w:szCs w:val="40"/>
        </w:rPr>
      </w:pPr>
    </w:p>
    <w:p w:rsidR="00D523A6" w:rsidRPr="004D0022" w:rsidRDefault="00D523A6" w:rsidP="00D523A6">
      <w:pPr>
        <w:rPr>
          <w:rFonts w:ascii="Times New Roman" w:hAnsi="Times New Roman" w:cs="Times New Roman"/>
          <w:sz w:val="40"/>
          <w:szCs w:val="40"/>
        </w:rPr>
      </w:pPr>
    </w:p>
    <w:p w:rsidR="00D523A6" w:rsidRPr="004D0022" w:rsidRDefault="00D523A6" w:rsidP="00D523A6">
      <w:pPr>
        <w:rPr>
          <w:rFonts w:ascii="Times New Roman" w:hAnsi="Times New Roman" w:cs="Times New Roman"/>
          <w:sz w:val="40"/>
          <w:szCs w:val="40"/>
        </w:rPr>
      </w:pPr>
    </w:p>
    <w:p w:rsidR="00D523A6" w:rsidRPr="004D0022" w:rsidRDefault="00D523A6" w:rsidP="00D523A6">
      <w:pPr>
        <w:rPr>
          <w:rFonts w:ascii="Times New Roman" w:hAnsi="Times New Roman" w:cs="Times New Roman"/>
          <w:sz w:val="40"/>
          <w:szCs w:val="40"/>
        </w:rPr>
      </w:pPr>
    </w:p>
    <w:p w:rsidR="00D523A6" w:rsidRPr="004D0022" w:rsidRDefault="00D523A6" w:rsidP="00D523A6">
      <w:pPr>
        <w:rPr>
          <w:rFonts w:ascii="Times New Roman" w:hAnsi="Times New Roman" w:cs="Times New Roman"/>
          <w:sz w:val="40"/>
          <w:szCs w:val="40"/>
        </w:rPr>
      </w:pPr>
    </w:p>
    <w:p w:rsidR="00D523A6" w:rsidRPr="004D0022" w:rsidRDefault="00D523A6" w:rsidP="00D523A6">
      <w:pPr>
        <w:rPr>
          <w:rFonts w:ascii="Times New Roman" w:hAnsi="Times New Roman" w:cs="Times New Roman"/>
          <w:sz w:val="40"/>
          <w:szCs w:val="40"/>
        </w:rPr>
      </w:pPr>
    </w:p>
    <w:p w:rsidR="00D523A6" w:rsidRPr="004D0022" w:rsidRDefault="00D523A6" w:rsidP="00D523A6">
      <w:pPr>
        <w:rPr>
          <w:rFonts w:ascii="Times New Roman" w:hAnsi="Times New Roman" w:cs="Times New Roman"/>
          <w:sz w:val="40"/>
          <w:szCs w:val="40"/>
        </w:rPr>
      </w:pPr>
    </w:p>
    <w:p w:rsidR="00D523A6" w:rsidRPr="004D0022" w:rsidRDefault="00D523A6" w:rsidP="00D523A6">
      <w:pPr>
        <w:jc w:val="center"/>
        <w:rPr>
          <w:rFonts w:ascii="Times New Roman" w:hAnsi="Times New Roman" w:cs="Times New Roman"/>
          <w:sz w:val="40"/>
          <w:szCs w:val="40"/>
        </w:rPr>
      </w:pPr>
    </w:p>
    <w:p w:rsidR="00D523A6" w:rsidRPr="004D0022" w:rsidRDefault="00D523A6" w:rsidP="00D523A6">
      <w:pPr>
        <w:jc w:val="center"/>
        <w:rPr>
          <w:rFonts w:ascii="Times New Roman" w:hAnsi="Times New Roman" w:cs="Times New Roman"/>
          <w:sz w:val="40"/>
          <w:szCs w:val="40"/>
        </w:rPr>
      </w:pPr>
    </w:p>
    <w:p w:rsidR="00D523A6" w:rsidRPr="004D0022" w:rsidRDefault="00D523A6" w:rsidP="00D523A6">
      <w:pPr>
        <w:jc w:val="center"/>
        <w:rPr>
          <w:rFonts w:ascii="Times New Roman" w:hAnsi="Times New Roman" w:cs="Times New Roman"/>
          <w:sz w:val="40"/>
          <w:szCs w:val="40"/>
        </w:rPr>
      </w:pPr>
    </w:p>
    <w:p w:rsidR="00D523A6" w:rsidRPr="004D0022" w:rsidRDefault="00D523A6" w:rsidP="00D523A6">
      <w:pPr>
        <w:jc w:val="center"/>
        <w:rPr>
          <w:rFonts w:ascii="Times New Roman" w:hAnsi="Times New Roman" w:cs="Times New Roman"/>
          <w:sz w:val="40"/>
          <w:szCs w:val="40"/>
        </w:rPr>
      </w:pPr>
    </w:p>
    <w:p w:rsidR="00D523A6" w:rsidRPr="004D0022" w:rsidRDefault="00D523A6" w:rsidP="00D523A6">
      <w:pPr>
        <w:jc w:val="center"/>
        <w:rPr>
          <w:rFonts w:ascii="Times New Roman" w:hAnsi="Times New Roman" w:cs="Times New Roman"/>
          <w:sz w:val="40"/>
          <w:szCs w:val="40"/>
        </w:rPr>
      </w:pPr>
    </w:p>
    <w:p w:rsidR="00D523A6" w:rsidRPr="004D0022" w:rsidRDefault="00D523A6" w:rsidP="00D523A6">
      <w:pPr>
        <w:jc w:val="center"/>
        <w:rPr>
          <w:rFonts w:ascii="Times New Roman" w:hAnsi="Times New Roman" w:cs="Times New Roman"/>
          <w:sz w:val="40"/>
          <w:szCs w:val="40"/>
        </w:rPr>
      </w:pPr>
    </w:p>
    <w:p w:rsidR="00D523A6" w:rsidRPr="004D0022" w:rsidRDefault="004D0022" w:rsidP="004D0022">
      <w:pPr>
        <w:pStyle w:val="Body"/>
        <w:rPr>
          <w:rFonts w:cs="Times New Roman"/>
          <w:sz w:val="40"/>
          <w:szCs w:val="40"/>
          <w:lang w:val="sv-SE"/>
        </w:rPr>
      </w:pPr>
      <w:r w:rsidRPr="004D0022">
        <w:rPr>
          <w:lang w:val="sv-SE"/>
        </w:rPr>
        <w:t>Enkätutskick, resor</w:t>
      </w:r>
      <w:r w:rsidRPr="004D0022">
        <w:rPr>
          <w:lang w:val="sv-SE"/>
        </w:rPr>
        <w:t xml:space="preserve"> för forskare</w:t>
      </w:r>
      <w:r w:rsidRPr="004D0022">
        <w:rPr>
          <w:lang w:val="sv-SE"/>
        </w:rPr>
        <w:t xml:space="preserve"> och visst arbete har finansierats av </w:t>
      </w:r>
      <w:r w:rsidRPr="004D0022">
        <w:rPr>
          <w:lang w:val="sv-SE"/>
        </w:rPr>
        <w:t>N</w:t>
      </w:r>
      <w:r w:rsidRPr="004D0022">
        <w:rPr>
          <w:lang w:val="sv-SE"/>
        </w:rPr>
        <w:t>aturskyddsföreningen.</w:t>
      </w:r>
    </w:p>
    <w:p w:rsidR="00D523A6" w:rsidRPr="004D0022" w:rsidRDefault="00D523A6" w:rsidP="00D523A6">
      <w:pPr>
        <w:jc w:val="center"/>
        <w:rPr>
          <w:rFonts w:ascii="Times New Roman" w:hAnsi="Times New Roman" w:cs="Times New Roman"/>
          <w:sz w:val="40"/>
          <w:szCs w:val="40"/>
        </w:rPr>
      </w:pPr>
    </w:p>
    <w:p w:rsidR="00D523A6" w:rsidRPr="004D0022" w:rsidRDefault="00D523A6" w:rsidP="00D523A6">
      <w:pPr>
        <w:rPr>
          <w:rFonts w:ascii="Times New Roman" w:hAnsi="Times New Roman" w:cs="Times New Roman"/>
          <w:sz w:val="40"/>
          <w:szCs w:val="40"/>
        </w:rPr>
      </w:pPr>
    </w:p>
    <w:p w:rsidR="00990874" w:rsidRPr="004D0022" w:rsidRDefault="00990874" w:rsidP="00D523A6">
      <w:pPr>
        <w:rPr>
          <w:rFonts w:ascii="Times New Roman" w:hAnsi="Times New Roman" w:cs="Times New Roman"/>
          <w:sz w:val="40"/>
          <w:szCs w:val="40"/>
        </w:rPr>
        <w:sectPr w:rsidR="00990874" w:rsidRPr="004D0022">
          <w:headerReference w:type="default" r:id="rId10"/>
          <w:footerReference w:type="default" r:id="rId11"/>
          <w:pgSz w:w="11906" w:h="16838"/>
          <w:pgMar w:top="1417" w:right="1417" w:bottom="1417" w:left="1417" w:header="708" w:footer="708" w:gutter="0"/>
          <w:cols w:space="708"/>
          <w:docGrid w:linePitch="360"/>
        </w:sectPr>
      </w:pPr>
    </w:p>
    <w:p w:rsidR="00F25D02" w:rsidRPr="004D0022" w:rsidRDefault="00FB1685" w:rsidP="00F25D02">
      <w:pPr>
        <w:rPr>
          <w:rFonts w:ascii="Times New Roman" w:hAnsi="Times New Roman" w:cs="Times New Roman"/>
          <w:smallCaps/>
          <w:sz w:val="40"/>
          <w:szCs w:val="40"/>
        </w:rPr>
      </w:pPr>
      <w:r w:rsidRPr="004D0022">
        <w:rPr>
          <w:rFonts w:ascii="Times New Roman" w:hAnsi="Times New Roman" w:cs="Times New Roman"/>
          <w:smallCaps/>
          <w:sz w:val="40"/>
          <w:szCs w:val="40"/>
        </w:rPr>
        <w:lastRenderedPageBreak/>
        <w:t>Sammanfattning</w:t>
      </w:r>
    </w:p>
    <w:p w:rsidR="00F25D02" w:rsidRPr="004D0022" w:rsidRDefault="00615276" w:rsidP="005D021F">
      <w:pPr>
        <w:pStyle w:val="Body"/>
        <w:rPr>
          <w:lang w:val="sv-SE"/>
        </w:rPr>
      </w:pPr>
      <w:r w:rsidRPr="004D0022">
        <w:rPr>
          <w:lang w:val="sv-SE"/>
        </w:rPr>
        <w:t>I Sverige den totala efterfrågan på energi är ca 400 TWh per år, varav 25 % används inom hushållssektorn och detta gör landet till bland de länder som har högst elanvändning per capita. Detta gör att potentialen för energibesparingar inom hushållssektorn bör vara relativt goda. Det övergripande syftet med hela projektet Energismarta grannar har varit att skapa och sprida en medvetenhet kring energi och energianvändning. Syftet med Mälardalens högskolas engagemang i uppföljningen av energispartävlingen ’Energismarta grannar’ har varit att under två tillfällen genomföra en enkätstudie för att se hur tävlingen fortlöper, och speciellt utvärdera deltagarnas inställning till energifrågor, samt att försöka förstå vilken hjälp som de har haft av de tekniska hjälpmedel som erbjudits inom ramen för tävlingen. Målet med att genomföra två enkätstudier för att öka förståelsen hur hushållens attityder och beteende i energirelaterade frågor ser ut, samt hur dessa utvecklas.</w:t>
      </w:r>
    </w:p>
    <w:p w:rsidR="00615276" w:rsidRPr="004D0022" w:rsidRDefault="00615276" w:rsidP="005D021F">
      <w:pPr>
        <w:pStyle w:val="Body"/>
        <w:rPr>
          <w:lang w:val="sv-SE"/>
        </w:rPr>
      </w:pPr>
      <w:r w:rsidRPr="004D0022">
        <w:rPr>
          <w:lang w:val="sv-SE"/>
        </w:rPr>
        <w:t>I den första enkätundersökningen, maj 2012, så skickades 43 enkäter ut, varav 16 hushåll svarade. Detta är en acceptabel svarsfrekvens, i linje med tidigare studier, men vissa grupper är helt frånvarande i underlaget. I andra utskicket, maj 2013, så erhölls ungefär samma svarsfrekvens, 26 stycken (38 %), men med en jämnare fördelning mellan åldersgrupperna.</w:t>
      </w:r>
    </w:p>
    <w:p w:rsidR="00615276" w:rsidRPr="004D0022" w:rsidRDefault="00615276" w:rsidP="005D021F">
      <w:pPr>
        <w:pStyle w:val="Body"/>
        <w:rPr>
          <w:lang w:val="sv-SE"/>
        </w:rPr>
      </w:pPr>
      <w:r w:rsidRPr="004D0022">
        <w:rPr>
          <w:lang w:val="sv-SE"/>
        </w:rPr>
        <w:t>Resultaten stämmer väl överens med bland annat från forskargruppens studier i Växjöområdet där totalt 2 000 kunder ingick i det ursprungliga utskicket</w:t>
      </w:r>
      <w:proofErr w:type="gramStart"/>
      <w:r w:rsidRPr="004D0022">
        <w:rPr>
          <w:lang w:val="sv-SE"/>
        </w:rPr>
        <w:t>..</w:t>
      </w:r>
      <w:proofErr w:type="gramEnd"/>
      <w:r w:rsidRPr="004D0022">
        <w:rPr>
          <w:lang w:val="sv-SE"/>
        </w:rPr>
        <w:t xml:space="preserve"> </w:t>
      </w:r>
      <w:proofErr w:type="gramStart"/>
      <w:r w:rsidRPr="004D0022">
        <w:rPr>
          <w:lang w:val="sv-SE"/>
        </w:rPr>
        <w:t>De yngre åldersgrupperna är även i denna enkätstudie (maj 2013) mer positiva vad det gäller ’Display’ och ’</w:t>
      </w:r>
      <w:proofErr w:type="spellStart"/>
      <w:r w:rsidRPr="004D0022">
        <w:rPr>
          <w:lang w:val="sv-SE"/>
        </w:rPr>
        <w:t>Apps</w:t>
      </w:r>
      <w:proofErr w:type="spellEnd"/>
      <w:r w:rsidRPr="004D0022">
        <w:rPr>
          <w:lang w:val="sv-SE"/>
        </w:rPr>
        <w:t>’, medan de äldre hushållen föredrar ’Brev’, ’Webb’ och ’E-post’</w:t>
      </w:r>
      <w:proofErr w:type="gramEnd"/>
      <w:r w:rsidRPr="004D0022">
        <w:rPr>
          <w:lang w:val="sv-SE"/>
        </w:rPr>
        <w:t xml:space="preserve">, En trend alltså kan observeras att de äldre hushållen blir mer positivt inställda till internetbaserade tjänster, som mina sidor och e-post än tidigare. </w:t>
      </w:r>
    </w:p>
    <w:p w:rsidR="00615276" w:rsidRPr="004D0022" w:rsidRDefault="00615276" w:rsidP="005D021F">
      <w:pPr>
        <w:pStyle w:val="Body"/>
        <w:rPr>
          <w:lang w:val="sv-SE"/>
        </w:rPr>
      </w:pPr>
      <w:r w:rsidRPr="004D0022">
        <w:rPr>
          <w:lang w:val="sv-SE"/>
        </w:rPr>
        <w:t>I båda enkätstudierna (maj 2012 och maj 2013) finns en viss övervikt när det gäller miljö som drivkraft för energisparåtgärder, men betydelsen av pengar ökar i den senare.</w:t>
      </w:r>
    </w:p>
    <w:p w:rsidR="002D1445" w:rsidRPr="004D0022" w:rsidRDefault="002D1445">
      <w:pPr>
        <w:rPr>
          <w:rFonts w:ascii="Times New Roman" w:hAnsi="Times New Roman"/>
          <w:sz w:val="24"/>
        </w:rPr>
      </w:pPr>
      <w:r w:rsidRPr="004D0022">
        <w:br w:type="page"/>
      </w:r>
    </w:p>
    <w:p w:rsidR="00F25D02" w:rsidRPr="004D0022" w:rsidRDefault="00F25D02" w:rsidP="00F25D02">
      <w:pPr>
        <w:pStyle w:val="Body"/>
        <w:rPr>
          <w:lang w:val="sv-SE"/>
        </w:rPr>
      </w:pPr>
    </w:p>
    <w:p w:rsidR="00990874" w:rsidRPr="004D0022" w:rsidRDefault="00990874" w:rsidP="00F25D02">
      <w:pPr>
        <w:rPr>
          <w:rFonts w:ascii="Times New Roman" w:hAnsi="Times New Roman" w:cs="Times New Roman"/>
          <w:smallCaps/>
          <w:sz w:val="40"/>
          <w:szCs w:val="40"/>
        </w:rPr>
        <w:sectPr w:rsidR="00990874" w:rsidRPr="004D0022">
          <w:headerReference w:type="default" r:id="rId12"/>
          <w:footerReference w:type="default" r:id="rId13"/>
          <w:pgSz w:w="11906" w:h="16838"/>
          <w:pgMar w:top="1417" w:right="1417" w:bottom="1417" w:left="1417" w:header="708" w:footer="708" w:gutter="0"/>
          <w:cols w:space="708"/>
          <w:docGrid w:linePitch="360"/>
        </w:sectPr>
      </w:pPr>
    </w:p>
    <w:p w:rsidR="00F25D02" w:rsidRPr="004D0022" w:rsidRDefault="00FB1685" w:rsidP="00F25D02">
      <w:pPr>
        <w:rPr>
          <w:rFonts w:ascii="Times New Roman" w:hAnsi="Times New Roman" w:cs="Times New Roman"/>
          <w:smallCaps/>
          <w:sz w:val="40"/>
          <w:szCs w:val="40"/>
        </w:rPr>
      </w:pPr>
      <w:r w:rsidRPr="004D0022">
        <w:rPr>
          <w:rFonts w:ascii="Times New Roman" w:hAnsi="Times New Roman" w:cs="Times New Roman"/>
          <w:smallCaps/>
          <w:sz w:val="40"/>
          <w:szCs w:val="40"/>
        </w:rPr>
        <w:lastRenderedPageBreak/>
        <w:t>Innehållsförteckning</w:t>
      </w:r>
    </w:p>
    <w:p w:rsidR="006C2592" w:rsidRPr="004D0022" w:rsidRDefault="006C2592" w:rsidP="00F25D02">
      <w:pPr>
        <w:rPr>
          <w:rFonts w:ascii="Times New Roman" w:hAnsi="Times New Roman" w:cs="Times New Roman"/>
          <w:smallCaps/>
          <w:sz w:val="40"/>
          <w:szCs w:val="40"/>
        </w:rPr>
      </w:pPr>
    </w:p>
    <w:p w:rsidR="002D1445" w:rsidRPr="004D0022" w:rsidRDefault="00CE69FB">
      <w:pPr>
        <w:pStyle w:val="TOC1"/>
        <w:tabs>
          <w:tab w:val="left" w:pos="440"/>
          <w:tab w:val="right" w:leader="dot" w:pos="9062"/>
        </w:tabs>
        <w:rPr>
          <w:rFonts w:asciiTheme="minorHAnsi" w:eastAsiaTheme="minorEastAsia" w:hAnsiTheme="minorHAnsi"/>
          <w:noProof/>
          <w:lang w:eastAsia="en-GB"/>
        </w:rPr>
      </w:pPr>
      <w:r w:rsidRPr="004D0022">
        <w:rPr>
          <w:sz w:val="24"/>
          <w:szCs w:val="24"/>
        </w:rPr>
        <w:fldChar w:fldCharType="begin"/>
      </w:r>
      <w:r w:rsidRPr="004D0022">
        <w:rPr>
          <w:sz w:val="24"/>
          <w:szCs w:val="24"/>
        </w:rPr>
        <w:instrText xml:space="preserve"> TOC \o "1-3" \u </w:instrText>
      </w:r>
      <w:r w:rsidRPr="004D0022">
        <w:rPr>
          <w:sz w:val="24"/>
          <w:szCs w:val="24"/>
        </w:rPr>
        <w:fldChar w:fldCharType="separate"/>
      </w:r>
      <w:r w:rsidR="002D1445" w:rsidRPr="004D0022">
        <w:rPr>
          <w:noProof/>
        </w:rPr>
        <w:t>1.</w:t>
      </w:r>
      <w:r w:rsidR="002D1445" w:rsidRPr="004D0022">
        <w:rPr>
          <w:rFonts w:asciiTheme="minorHAnsi" w:eastAsiaTheme="minorEastAsia" w:hAnsiTheme="minorHAnsi"/>
          <w:noProof/>
          <w:lang w:eastAsia="en-GB"/>
        </w:rPr>
        <w:tab/>
      </w:r>
      <w:r w:rsidR="002D1445" w:rsidRPr="004D0022">
        <w:rPr>
          <w:noProof/>
        </w:rPr>
        <w:t>Introduktion</w:t>
      </w:r>
      <w:r w:rsidR="002D1445" w:rsidRPr="004D0022">
        <w:rPr>
          <w:noProof/>
        </w:rPr>
        <w:tab/>
      </w:r>
      <w:r w:rsidR="002D1445" w:rsidRPr="004D0022">
        <w:rPr>
          <w:noProof/>
        </w:rPr>
        <w:fldChar w:fldCharType="begin"/>
      </w:r>
      <w:r w:rsidR="002D1445" w:rsidRPr="004D0022">
        <w:rPr>
          <w:noProof/>
        </w:rPr>
        <w:instrText xml:space="preserve"> PAGEREF _Toc390222487 \h </w:instrText>
      </w:r>
      <w:r w:rsidR="002D1445" w:rsidRPr="004D0022">
        <w:rPr>
          <w:noProof/>
        </w:rPr>
      </w:r>
      <w:r w:rsidR="002D1445" w:rsidRPr="004D0022">
        <w:rPr>
          <w:noProof/>
        </w:rPr>
        <w:fldChar w:fldCharType="separate"/>
      </w:r>
      <w:r w:rsidR="002D1445" w:rsidRPr="004D0022">
        <w:rPr>
          <w:noProof/>
        </w:rPr>
        <w:t>5</w:t>
      </w:r>
      <w:r w:rsidR="002D1445" w:rsidRPr="004D0022">
        <w:rPr>
          <w:noProof/>
        </w:rPr>
        <w:fldChar w:fldCharType="end"/>
      </w:r>
    </w:p>
    <w:p w:rsidR="002D1445" w:rsidRPr="004D0022" w:rsidRDefault="002D1445">
      <w:pPr>
        <w:pStyle w:val="TOC2"/>
        <w:tabs>
          <w:tab w:val="left" w:pos="880"/>
          <w:tab w:val="right" w:leader="dot" w:pos="9062"/>
        </w:tabs>
        <w:rPr>
          <w:rFonts w:asciiTheme="minorHAnsi" w:eastAsiaTheme="minorEastAsia" w:hAnsiTheme="minorHAnsi"/>
          <w:noProof/>
          <w:lang w:eastAsia="en-GB"/>
        </w:rPr>
      </w:pPr>
      <w:r w:rsidRPr="004D0022">
        <w:rPr>
          <w:noProof/>
        </w:rPr>
        <w:t>1.1.</w:t>
      </w:r>
      <w:r w:rsidRPr="004D0022">
        <w:rPr>
          <w:rFonts w:asciiTheme="minorHAnsi" w:eastAsiaTheme="minorEastAsia" w:hAnsiTheme="minorHAnsi"/>
          <w:noProof/>
          <w:lang w:eastAsia="en-GB"/>
        </w:rPr>
        <w:tab/>
      </w:r>
      <w:r w:rsidRPr="004D0022">
        <w:rPr>
          <w:noProof/>
        </w:rPr>
        <w:t>Bakgrund</w:t>
      </w:r>
      <w:r w:rsidRPr="004D0022">
        <w:rPr>
          <w:noProof/>
        </w:rPr>
        <w:tab/>
      </w:r>
      <w:r w:rsidRPr="004D0022">
        <w:rPr>
          <w:noProof/>
        </w:rPr>
        <w:fldChar w:fldCharType="begin"/>
      </w:r>
      <w:r w:rsidRPr="004D0022">
        <w:rPr>
          <w:noProof/>
        </w:rPr>
        <w:instrText xml:space="preserve"> PAGEREF _Toc390222488 \h </w:instrText>
      </w:r>
      <w:r w:rsidRPr="004D0022">
        <w:rPr>
          <w:noProof/>
        </w:rPr>
      </w:r>
      <w:r w:rsidRPr="004D0022">
        <w:rPr>
          <w:noProof/>
        </w:rPr>
        <w:fldChar w:fldCharType="separate"/>
      </w:r>
      <w:r w:rsidRPr="004D0022">
        <w:rPr>
          <w:noProof/>
        </w:rPr>
        <w:t>5</w:t>
      </w:r>
      <w:r w:rsidRPr="004D0022">
        <w:rPr>
          <w:noProof/>
        </w:rPr>
        <w:fldChar w:fldCharType="end"/>
      </w:r>
    </w:p>
    <w:p w:rsidR="002D1445" w:rsidRPr="004D0022" w:rsidRDefault="002D1445">
      <w:pPr>
        <w:pStyle w:val="TOC2"/>
        <w:tabs>
          <w:tab w:val="left" w:pos="880"/>
          <w:tab w:val="right" w:leader="dot" w:pos="9062"/>
        </w:tabs>
        <w:rPr>
          <w:rFonts w:asciiTheme="minorHAnsi" w:eastAsiaTheme="minorEastAsia" w:hAnsiTheme="minorHAnsi"/>
          <w:noProof/>
          <w:lang w:eastAsia="en-GB"/>
        </w:rPr>
      </w:pPr>
      <w:r w:rsidRPr="004D0022">
        <w:rPr>
          <w:noProof/>
        </w:rPr>
        <w:t>1.2.</w:t>
      </w:r>
      <w:r w:rsidRPr="004D0022">
        <w:rPr>
          <w:rFonts w:asciiTheme="minorHAnsi" w:eastAsiaTheme="minorEastAsia" w:hAnsiTheme="minorHAnsi"/>
          <w:noProof/>
          <w:lang w:eastAsia="en-GB"/>
        </w:rPr>
        <w:tab/>
      </w:r>
      <w:r w:rsidRPr="004D0022">
        <w:rPr>
          <w:noProof/>
        </w:rPr>
        <w:t>Syfte</w:t>
      </w:r>
      <w:r w:rsidRPr="004D0022">
        <w:rPr>
          <w:noProof/>
        </w:rPr>
        <w:tab/>
      </w:r>
      <w:r w:rsidRPr="004D0022">
        <w:rPr>
          <w:noProof/>
        </w:rPr>
        <w:fldChar w:fldCharType="begin"/>
      </w:r>
      <w:r w:rsidRPr="004D0022">
        <w:rPr>
          <w:noProof/>
        </w:rPr>
        <w:instrText xml:space="preserve"> PAGEREF _Toc390222489 \h </w:instrText>
      </w:r>
      <w:r w:rsidRPr="004D0022">
        <w:rPr>
          <w:noProof/>
        </w:rPr>
      </w:r>
      <w:r w:rsidRPr="004D0022">
        <w:rPr>
          <w:noProof/>
        </w:rPr>
        <w:fldChar w:fldCharType="separate"/>
      </w:r>
      <w:r w:rsidRPr="004D0022">
        <w:rPr>
          <w:noProof/>
        </w:rPr>
        <w:t>5</w:t>
      </w:r>
      <w:r w:rsidRPr="004D0022">
        <w:rPr>
          <w:noProof/>
        </w:rPr>
        <w:fldChar w:fldCharType="end"/>
      </w:r>
    </w:p>
    <w:p w:rsidR="002D1445" w:rsidRPr="004D0022" w:rsidRDefault="002D1445">
      <w:pPr>
        <w:pStyle w:val="TOC2"/>
        <w:tabs>
          <w:tab w:val="left" w:pos="880"/>
          <w:tab w:val="right" w:leader="dot" w:pos="9062"/>
        </w:tabs>
        <w:rPr>
          <w:rFonts w:asciiTheme="minorHAnsi" w:eastAsiaTheme="minorEastAsia" w:hAnsiTheme="minorHAnsi"/>
          <w:noProof/>
          <w:lang w:eastAsia="en-GB"/>
        </w:rPr>
      </w:pPr>
      <w:r w:rsidRPr="004D0022">
        <w:rPr>
          <w:noProof/>
        </w:rPr>
        <w:t>1.3.</w:t>
      </w:r>
      <w:r w:rsidRPr="004D0022">
        <w:rPr>
          <w:rFonts w:asciiTheme="minorHAnsi" w:eastAsiaTheme="minorEastAsia" w:hAnsiTheme="minorHAnsi"/>
          <w:noProof/>
          <w:lang w:eastAsia="en-GB"/>
        </w:rPr>
        <w:tab/>
      </w:r>
      <w:r w:rsidRPr="004D0022">
        <w:rPr>
          <w:noProof/>
        </w:rPr>
        <w:t>Mål</w:t>
      </w:r>
      <w:r w:rsidRPr="004D0022">
        <w:rPr>
          <w:noProof/>
        </w:rPr>
        <w:tab/>
      </w:r>
      <w:r w:rsidRPr="004D0022">
        <w:rPr>
          <w:noProof/>
        </w:rPr>
        <w:fldChar w:fldCharType="begin"/>
      </w:r>
      <w:r w:rsidRPr="004D0022">
        <w:rPr>
          <w:noProof/>
        </w:rPr>
        <w:instrText xml:space="preserve"> PAGEREF _Toc390222490 \h </w:instrText>
      </w:r>
      <w:r w:rsidRPr="004D0022">
        <w:rPr>
          <w:noProof/>
        </w:rPr>
      </w:r>
      <w:r w:rsidRPr="004D0022">
        <w:rPr>
          <w:noProof/>
        </w:rPr>
        <w:fldChar w:fldCharType="separate"/>
      </w:r>
      <w:r w:rsidRPr="004D0022">
        <w:rPr>
          <w:noProof/>
        </w:rPr>
        <w:t>5</w:t>
      </w:r>
      <w:r w:rsidRPr="004D0022">
        <w:rPr>
          <w:noProof/>
        </w:rPr>
        <w:fldChar w:fldCharType="end"/>
      </w:r>
    </w:p>
    <w:p w:rsidR="002D1445" w:rsidRPr="004D0022" w:rsidRDefault="002D1445">
      <w:pPr>
        <w:pStyle w:val="TOC1"/>
        <w:tabs>
          <w:tab w:val="left" w:pos="440"/>
          <w:tab w:val="right" w:leader="dot" w:pos="9062"/>
        </w:tabs>
        <w:rPr>
          <w:rFonts w:asciiTheme="minorHAnsi" w:eastAsiaTheme="minorEastAsia" w:hAnsiTheme="minorHAnsi"/>
          <w:noProof/>
          <w:lang w:eastAsia="en-GB"/>
        </w:rPr>
      </w:pPr>
      <w:r w:rsidRPr="004D0022">
        <w:rPr>
          <w:noProof/>
        </w:rPr>
        <w:t>2.</w:t>
      </w:r>
      <w:r w:rsidRPr="004D0022">
        <w:rPr>
          <w:rFonts w:asciiTheme="minorHAnsi" w:eastAsiaTheme="minorEastAsia" w:hAnsiTheme="minorHAnsi"/>
          <w:noProof/>
          <w:lang w:eastAsia="en-GB"/>
        </w:rPr>
        <w:tab/>
      </w:r>
      <w:r w:rsidRPr="004D0022">
        <w:rPr>
          <w:noProof/>
        </w:rPr>
        <w:t>Metod</w:t>
      </w:r>
      <w:r w:rsidRPr="004D0022">
        <w:rPr>
          <w:noProof/>
        </w:rPr>
        <w:tab/>
      </w:r>
      <w:r w:rsidRPr="004D0022">
        <w:rPr>
          <w:noProof/>
        </w:rPr>
        <w:fldChar w:fldCharType="begin"/>
      </w:r>
      <w:r w:rsidRPr="004D0022">
        <w:rPr>
          <w:noProof/>
        </w:rPr>
        <w:instrText xml:space="preserve"> PAGEREF _Toc390222491 \h </w:instrText>
      </w:r>
      <w:r w:rsidRPr="004D0022">
        <w:rPr>
          <w:noProof/>
        </w:rPr>
      </w:r>
      <w:r w:rsidRPr="004D0022">
        <w:rPr>
          <w:noProof/>
        </w:rPr>
        <w:fldChar w:fldCharType="separate"/>
      </w:r>
      <w:r w:rsidRPr="004D0022">
        <w:rPr>
          <w:noProof/>
        </w:rPr>
        <w:t>6</w:t>
      </w:r>
      <w:r w:rsidRPr="004D0022">
        <w:rPr>
          <w:noProof/>
        </w:rPr>
        <w:fldChar w:fldCharType="end"/>
      </w:r>
    </w:p>
    <w:p w:rsidR="002D1445" w:rsidRPr="004D0022" w:rsidRDefault="002D1445">
      <w:pPr>
        <w:pStyle w:val="TOC2"/>
        <w:tabs>
          <w:tab w:val="left" w:pos="880"/>
          <w:tab w:val="right" w:leader="dot" w:pos="9062"/>
        </w:tabs>
        <w:rPr>
          <w:rFonts w:asciiTheme="minorHAnsi" w:eastAsiaTheme="minorEastAsia" w:hAnsiTheme="minorHAnsi"/>
          <w:noProof/>
          <w:lang w:eastAsia="en-GB"/>
        </w:rPr>
      </w:pPr>
      <w:r w:rsidRPr="004D0022">
        <w:rPr>
          <w:noProof/>
        </w:rPr>
        <w:t>2.1.</w:t>
      </w:r>
      <w:r w:rsidRPr="004D0022">
        <w:rPr>
          <w:rFonts w:asciiTheme="minorHAnsi" w:eastAsiaTheme="minorEastAsia" w:hAnsiTheme="minorHAnsi"/>
          <w:noProof/>
          <w:lang w:eastAsia="en-GB"/>
        </w:rPr>
        <w:tab/>
      </w:r>
      <w:r w:rsidRPr="004D0022">
        <w:rPr>
          <w:noProof/>
        </w:rPr>
        <w:t>Enkätens indelning</w:t>
      </w:r>
      <w:r w:rsidRPr="004D0022">
        <w:rPr>
          <w:noProof/>
        </w:rPr>
        <w:tab/>
      </w:r>
      <w:r w:rsidRPr="004D0022">
        <w:rPr>
          <w:noProof/>
        </w:rPr>
        <w:fldChar w:fldCharType="begin"/>
      </w:r>
      <w:r w:rsidRPr="004D0022">
        <w:rPr>
          <w:noProof/>
        </w:rPr>
        <w:instrText xml:space="preserve"> PAGEREF _Toc390222492 \h </w:instrText>
      </w:r>
      <w:r w:rsidRPr="004D0022">
        <w:rPr>
          <w:noProof/>
        </w:rPr>
      </w:r>
      <w:r w:rsidRPr="004D0022">
        <w:rPr>
          <w:noProof/>
        </w:rPr>
        <w:fldChar w:fldCharType="separate"/>
      </w:r>
      <w:r w:rsidRPr="004D0022">
        <w:rPr>
          <w:noProof/>
        </w:rPr>
        <w:t>6</w:t>
      </w:r>
      <w:r w:rsidRPr="004D0022">
        <w:rPr>
          <w:noProof/>
        </w:rPr>
        <w:fldChar w:fldCharType="end"/>
      </w:r>
    </w:p>
    <w:p w:rsidR="002D1445" w:rsidRPr="004D0022" w:rsidRDefault="002D1445">
      <w:pPr>
        <w:pStyle w:val="TOC1"/>
        <w:tabs>
          <w:tab w:val="left" w:pos="440"/>
          <w:tab w:val="right" w:leader="dot" w:pos="9062"/>
        </w:tabs>
        <w:rPr>
          <w:rFonts w:asciiTheme="minorHAnsi" w:eastAsiaTheme="minorEastAsia" w:hAnsiTheme="minorHAnsi"/>
          <w:noProof/>
          <w:lang w:eastAsia="en-GB"/>
        </w:rPr>
      </w:pPr>
      <w:r w:rsidRPr="004D0022">
        <w:rPr>
          <w:noProof/>
        </w:rPr>
        <w:t>3.</w:t>
      </w:r>
      <w:r w:rsidRPr="004D0022">
        <w:rPr>
          <w:rFonts w:asciiTheme="minorHAnsi" w:eastAsiaTheme="minorEastAsia" w:hAnsiTheme="minorHAnsi"/>
          <w:noProof/>
          <w:lang w:eastAsia="en-GB"/>
        </w:rPr>
        <w:tab/>
      </w:r>
      <w:r w:rsidRPr="004D0022">
        <w:rPr>
          <w:noProof/>
        </w:rPr>
        <w:t>Resultat</w:t>
      </w:r>
      <w:r w:rsidRPr="004D0022">
        <w:rPr>
          <w:noProof/>
        </w:rPr>
        <w:tab/>
      </w:r>
      <w:r w:rsidRPr="004D0022">
        <w:rPr>
          <w:noProof/>
        </w:rPr>
        <w:fldChar w:fldCharType="begin"/>
      </w:r>
      <w:r w:rsidRPr="004D0022">
        <w:rPr>
          <w:noProof/>
        </w:rPr>
        <w:instrText xml:space="preserve"> PAGEREF _Toc390222493 \h </w:instrText>
      </w:r>
      <w:r w:rsidRPr="004D0022">
        <w:rPr>
          <w:noProof/>
        </w:rPr>
      </w:r>
      <w:r w:rsidRPr="004D0022">
        <w:rPr>
          <w:noProof/>
        </w:rPr>
        <w:fldChar w:fldCharType="separate"/>
      </w:r>
      <w:r w:rsidRPr="004D0022">
        <w:rPr>
          <w:noProof/>
        </w:rPr>
        <w:t>8</w:t>
      </w:r>
      <w:r w:rsidRPr="004D0022">
        <w:rPr>
          <w:noProof/>
        </w:rPr>
        <w:fldChar w:fldCharType="end"/>
      </w:r>
    </w:p>
    <w:p w:rsidR="002D1445" w:rsidRPr="004D0022" w:rsidRDefault="002D1445">
      <w:pPr>
        <w:pStyle w:val="TOC2"/>
        <w:tabs>
          <w:tab w:val="left" w:pos="880"/>
          <w:tab w:val="right" w:leader="dot" w:pos="9062"/>
        </w:tabs>
        <w:rPr>
          <w:rFonts w:asciiTheme="minorHAnsi" w:eastAsiaTheme="minorEastAsia" w:hAnsiTheme="minorHAnsi"/>
          <w:noProof/>
          <w:lang w:eastAsia="en-GB"/>
        </w:rPr>
      </w:pPr>
      <w:r w:rsidRPr="004D0022">
        <w:rPr>
          <w:noProof/>
        </w:rPr>
        <w:t>3.1.</w:t>
      </w:r>
      <w:r w:rsidRPr="004D0022">
        <w:rPr>
          <w:rFonts w:asciiTheme="minorHAnsi" w:eastAsiaTheme="minorEastAsia" w:hAnsiTheme="minorHAnsi"/>
          <w:noProof/>
          <w:lang w:eastAsia="en-GB"/>
        </w:rPr>
        <w:tab/>
      </w:r>
      <w:r w:rsidRPr="004D0022">
        <w:rPr>
          <w:noProof/>
        </w:rPr>
        <w:t>Enkät 2012</w:t>
      </w:r>
      <w:r w:rsidRPr="004D0022">
        <w:rPr>
          <w:noProof/>
        </w:rPr>
        <w:tab/>
      </w:r>
      <w:r w:rsidRPr="004D0022">
        <w:rPr>
          <w:noProof/>
        </w:rPr>
        <w:fldChar w:fldCharType="begin"/>
      </w:r>
      <w:r w:rsidRPr="004D0022">
        <w:rPr>
          <w:noProof/>
        </w:rPr>
        <w:instrText xml:space="preserve"> PAGEREF _Toc390222494 \h </w:instrText>
      </w:r>
      <w:r w:rsidRPr="004D0022">
        <w:rPr>
          <w:noProof/>
        </w:rPr>
      </w:r>
      <w:r w:rsidRPr="004D0022">
        <w:rPr>
          <w:noProof/>
        </w:rPr>
        <w:fldChar w:fldCharType="separate"/>
      </w:r>
      <w:r w:rsidRPr="004D0022">
        <w:rPr>
          <w:noProof/>
        </w:rPr>
        <w:t>8</w:t>
      </w:r>
      <w:r w:rsidRPr="004D0022">
        <w:rPr>
          <w:noProof/>
        </w:rPr>
        <w:fldChar w:fldCharType="end"/>
      </w:r>
    </w:p>
    <w:p w:rsidR="002D1445" w:rsidRPr="004D0022" w:rsidRDefault="002D1445">
      <w:pPr>
        <w:pStyle w:val="TOC2"/>
        <w:tabs>
          <w:tab w:val="left" w:pos="880"/>
          <w:tab w:val="right" w:leader="dot" w:pos="9062"/>
        </w:tabs>
        <w:rPr>
          <w:rFonts w:asciiTheme="minorHAnsi" w:eastAsiaTheme="minorEastAsia" w:hAnsiTheme="minorHAnsi"/>
          <w:noProof/>
          <w:lang w:eastAsia="en-GB"/>
        </w:rPr>
      </w:pPr>
      <w:r w:rsidRPr="004D0022">
        <w:rPr>
          <w:noProof/>
        </w:rPr>
        <w:t>3.2.</w:t>
      </w:r>
      <w:r w:rsidRPr="004D0022">
        <w:rPr>
          <w:rFonts w:asciiTheme="minorHAnsi" w:eastAsiaTheme="minorEastAsia" w:hAnsiTheme="minorHAnsi"/>
          <w:noProof/>
          <w:lang w:eastAsia="en-GB"/>
        </w:rPr>
        <w:tab/>
      </w:r>
      <w:r w:rsidRPr="004D0022">
        <w:rPr>
          <w:noProof/>
        </w:rPr>
        <w:t>Enkät 2013</w:t>
      </w:r>
      <w:r w:rsidRPr="004D0022">
        <w:rPr>
          <w:noProof/>
        </w:rPr>
        <w:tab/>
      </w:r>
      <w:r w:rsidRPr="004D0022">
        <w:rPr>
          <w:noProof/>
        </w:rPr>
        <w:fldChar w:fldCharType="begin"/>
      </w:r>
      <w:r w:rsidRPr="004D0022">
        <w:rPr>
          <w:noProof/>
        </w:rPr>
        <w:instrText xml:space="preserve"> PAGEREF _Toc390222495 \h </w:instrText>
      </w:r>
      <w:r w:rsidRPr="004D0022">
        <w:rPr>
          <w:noProof/>
        </w:rPr>
      </w:r>
      <w:r w:rsidRPr="004D0022">
        <w:rPr>
          <w:noProof/>
        </w:rPr>
        <w:fldChar w:fldCharType="separate"/>
      </w:r>
      <w:r w:rsidRPr="004D0022">
        <w:rPr>
          <w:noProof/>
        </w:rPr>
        <w:t>11</w:t>
      </w:r>
      <w:r w:rsidRPr="004D0022">
        <w:rPr>
          <w:noProof/>
        </w:rPr>
        <w:fldChar w:fldCharType="end"/>
      </w:r>
    </w:p>
    <w:p w:rsidR="002D1445" w:rsidRPr="004D0022" w:rsidRDefault="002D1445">
      <w:pPr>
        <w:pStyle w:val="TOC1"/>
        <w:tabs>
          <w:tab w:val="left" w:pos="440"/>
          <w:tab w:val="right" w:leader="dot" w:pos="9062"/>
        </w:tabs>
        <w:rPr>
          <w:rFonts w:asciiTheme="minorHAnsi" w:eastAsiaTheme="minorEastAsia" w:hAnsiTheme="minorHAnsi"/>
          <w:noProof/>
          <w:lang w:eastAsia="en-GB"/>
        </w:rPr>
      </w:pPr>
      <w:r w:rsidRPr="004D0022">
        <w:rPr>
          <w:noProof/>
        </w:rPr>
        <w:t>4.</w:t>
      </w:r>
      <w:r w:rsidRPr="004D0022">
        <w:rPr>
          <w:rFonts w:asciiTheme="minorHAnsi" w:eastAsiaTheme="minorEastAsia" w:hAnsiTheme="minorHAnsi"/>
          <w:noProof/>
          <w:lang w:eastAsia="en-GB"/>
        </w:rPr>
        <w:tab/>
      </w:r>
      <w:r w:rsidRPr="004D0022">
        <w:rPr>
          <w:noProof/>
        </w:rPr>
        <w:t>Diskussion</w:t>
      </w:r>
      <w:r w:rsidRPr="004D0022">
        <w:rPr>
          <w:noProof/>
        </w:rPr>
        <w:tab/>
      </w:r>
      <w:r w:rsidRPr="004D0022">
        <w:rPr>
          <w:noProof/>
        </w:rPr>
        <w:fldChar w:fldCharType="begin"/>
      </w:r>
      <w:r w:rsidRPr="004D0022">
        <w:rPr>
          <w:noProof/>
        </w:rPr>
        <w:instrText xml:space="preserve"> PAGEREF _Toc390222496 \h </w:instrText>
      </w:r>
      <w:r w:rsidRPr="004D0022">
        <w:rPr>
          <w:noProof/>
        </w:rPr>
      </w:r>
      <w:r w:rsidRPr="004D0022">
        <w:rPr>
          <w:noProof/>
        </w:rPr>
        <w:fldChar w:fldCharType="separate"/>
      </w:r>
      <w:r w:rsidRPr="004D0022">
        <w:rPr>
          <w:noProof/>
        </w:rPr>
        <w:t>14</w:t>
      </w:r>
      <w:r w:rsidRPr="004D0022">
        <w:rPr>
          <w:noProof/>
        </w:rPr>
        <w:fldChar w:fldCharType="end"/>
      </w:r>
    </w:p>
    <w:p w:rsidR="002D1445" w:rsidRPr="004D0022" w:rsidRDefault="00CE69FB" w:rsidP="00F25D02">
      <w:pPr>
        <w:rPr>
          <w:sz w:val="24"/>
          <w:szCs w:val="24"/>
        </w:rPr>
      </w:pPr>
      <w:r w:rsidRPr="004D0022">
        <w:rPr>
          <w:sz w:val="24"/>
          <w:szCs w:val="24"/>
        </w:rPr>
        <w:fldChar w:fldCharType="end"/>
      </w:r>
    </w:p>
    <w:p w:rsidR="002D1445" w:rsidRPr="004D0022" w:rsidRDefault="002D1445">
      <w:pPr>
        <w:rPr>
          <w:sz w:val="24"/>
          <w:szCs w:val="24"/>
        </w:rPr>
      </w:pPr>
      <w:r w:rsidRPr="004D0022">
        <w:rPr>
          <w:sz w:val="24"/>
          <w:szCs w:val="24"/>
        </w:rPr>
        <w:br w:type="page"/>
      </w:r>
    </w:p>
    <w:p w:rsidR="00F25D02" w:rsidRPr="004D0022" w:rsidRDefault="00F25D02" w:rsidP="00F25D02">
      <w:pPr>
        <w:rPr>
          <w:sz w:val="24"/>
          <w:szCs w:val="24"/>
        </w:rPr>
      </w:pPr>
    </w:p>
    <w:p w:rsidR="00F25D02" w:rsidRPr="004D0022" w:rsidRDefault="00F25D02" w:rsidP="00F25D02">
      <w:pPr>
        <w:sectPr w:rsidR="00F25D02" w:rsidRPr="004D0022">
          <w:pgSz w:w="11906" w:h="16838"/>
          <w:pgMar w:top="1417" w:right="1417" w:bottom="1417" w:left="1417" w:header="708" w:footer="708" w:gutter="0"/>
          <w:cols w:space="708"/>
          <w:docGrid w:linePitch="360"/>
        </w:sectPr>
      </w:pPr>
    </w:p>
    <w:p w:rsidR="005966BE" w:rsidRPr="004D0022" w:rsidRDefault="00FB1685" w:rsidP="0036266D">
      <w:pPr>
        <w:pStyle w:val="Heading1"/>
      </w:pPr>
      <w:bookmarkStart w:id="1" w:name="_Toc390222487"/>
      <w:r w:rsidRPr="004D0022">
        <w:lastRenderedPageBreak/>
        <w:t>Introduktion</w:t>
      </w:r>
      <w:bookmarkEnd w:id="1"/>
    </w:p>
    <w:p w:rsidR="00CC47EA" w:rsidRPr="004D0022" w:rsidRDefault="00FB1685" w:rsidP="009D5BFB">
      <w:pPr>
        <w:pStyle w:val="Heading2"/>
        <w:rPr>
          <w:lang w:val="sv-SE"/>
        </w:rPr>
      </w:pPr>
      <w:bookmarkStart w:id="2" w:name="_Toc390222488"/>
      <w:r w:rsidRPr="004D0022">
        <w:rPr>
          <w:lang w:val="sv-SE"/>
        </w:rPr>
        <w:t>Bakgrund</w:t>
      </w:r>
      <w:bookmarkEnd w:id="2"/>
    </w:p>
    <w:p w:rsidR="00CC47EA" w:rsidRPr="004D0022" w:rsidRDefault="000F24A4" w:rsidP="0028288E">
      <w:pPr>
        <w:pStyle w:val="Body"/>
        <w:rPr>
          <w:lang w:val="sv-SE"/>
        </w:rPr>
      </w:pPr>
      <w:r w:rsidRPr="004D0022">
        <w:rPr>
          <w:lang w:val="sv-SE"/>
        </w:rPr>
        <w:t xml:space="preserve">Hushållens </w:t>
      </w:r>
      <w:r w:rsidRPr="004D0022">
        <w:rPr>
          <w:lang w:val="sv-SE"/>
        </w:rPr>
        <w:t>energiförbrukning utgör en tredjedel av den totala</w:t>
      </w:r>
      <w:r w:rsidRPr="004D0022">
        <w:rPr>
          <w:lang w:val="sv-SE"/>
        </w:rPr>
        <w:t xml:space="preserve"> </w:t>
      </w:r>
      <w:r w:rsidRPr="004D0022">
        <w:rPr>
          <w:lang w:val="sv-SE"/>
        </w:rPr>
        <w:t xml:space="preserve">energi som förbrukas i de </w:t>
      </w:r>
      <w:r w:rsidRPr="004D0022">
        <w:rPr>
          <w:lang w:val="sv-SE"/>
        </w:rPr>
        <w:t xml:space="preserve">industrialiserade </w:t>
      </w:r>
      <w:r w:rsidRPr="004D0022">
        <w:rPr>
          <w:lang w:val="sv-SE"/>
        </w:rPr>
        <w:t>länderna, trots alla de olika</w:t>
      </w:r>
      <w:r w:rsidRPr="004D0022">
        <w:rPr>
          <w:lang w:val="sv-SE"/>
        </w:rPr>
        <w:t xml:space="preserve"> </w:t>
      </w:r>
      <w:r w:rsidRPr="004D0022">
        <w:rPr>
          <w:lang w:val="sv-SE"/>
        </w:rPr>
        <w:t>energibesparing orienterade skattelättnader, subventioner och information</w:t>
      </w:r>
      <w:r w:rsidRPr="004D0022">
        <w:rPr>
          <w:lang w:val="sv-SE"/>
        </w:rPr>
        <w:t>s</w:t>
      </w:r>
      <w:r w:rsidRPr="004D0022">
        <w:rPr>
          <w:lang w:val="sv-SE"/>
        </w:rPr>
        <w:t>kampanjer.</w:t>
      </w:r>
      <w:r w:rsidRPr="004D0022">
        <w:rPr>
          <w:lang w:val="sv-SE"/>
        </w:rPr>
        <w:t xml:space="preserve"> </w:t>
      </w:r>
      <w:r w:rsidRPr="004D0022">
        <w:rPr>
          <w:lang w:val="sv-SE"/>
        </w:rPr>
        <w:t>I Sverige den totala eft</w:t>
      </w:r>
      <w:r w:rsidRPr="004D0022">
        <w:rPr>
          <w:lang w:val="sv-SE"/>
        </w:rPr>
        <w:t>erfrågan på energi är ca 400 TW</w:t>
      </w:r>
      <w:r w:rsidRPr="004D0022">
        <w:rPr>
          <w:lang w:val="sv-SE"/>
        </w:rPr>
        <w:t>h</w:t>
      </w:r>
      <w:r w:rsidRPr="004D0022">
        <w:rPr>
          <w:lang w:val="sv-SE"/>
        </w:rPr>
        <w:t xml:space="preserve"> </w:t>
      </w:r>
      <w:r w:rsidRPr="004D0022">
        <w:rPr>
          <w:lang w:val="sv-SE"/>
        </w:rPr>
        <w:t>per år, varav 25</w:t>
      </w:r>
      <w:r w:rsidR="0028288E" w:rsidRPr="004D0022">
        <w:rPr>
          <w:lang w:val="sv-SE"/>
        </w:rPr>
        <w:t xml:space="preserve"> </w:t>
      </w:r>
      <w:r w:rsidRPr="004D0022">
        <w:rPr>
          <w:lang w:val="sv-SE"/>
        </w:rPr>
        <w:t xml:space="preserve">% används inom hushållssektorn och </w:t>
      </w:r>
      <w:r w:rsidRPr="004D0022">
        <w:rPr>
          <w:lang w:val="sv-SE"/>
        </w:rPr>
        <w:t>detta</w:t>
      </w:r>
      <w:r w:rsidR="0028288E" w:rsidRPr="004D0022">
        <w:rPr>
          <w:lang w:val="sv-SE"/>
        </w:rPr>
        <w:t xml:space="preserve"> gör landet</w:t>
      </w:r>
      <w:r w:rsidRPr="004D0022">
        <w:rPr>
          <w:lang w:val="sv-SE"/>
        </w:rPr>
        <w:t xml:space="preserve"> </w:t>
      </w:r>
      <w:r w:rsidR="0028288E" w:rsidRPr="004D0022">
        <w:rPr>
          <w:lang w:val="sv-SE"/>
        </w:rPr>
        <w:t xml:space="preserve">till </w:t>
      </w:r>
      <w:r w:rsidRPr="004D0022">
        <w:rPr>
          <w:lang w:val="sv-SE"/>
        </w:rPr>
        <w:t>bland</w:t>
      </w:r>
      <w:r w:rsidRPr="004D0022">
        <w:rPr>
          <w:lang w:val="sv-SE"/>
        </w:rPr>
        <w:t xml:space="preserve"> </w:t>
      </w:r>
      <w:r w:rsidRPr="004D0022">
        <w:rPr>
          <w:lang w:val="sv-SE"/>
        </w:rPr>
        <w:t>de länder som har högst elanvändning per capita (ungefär</w:t>
      </w:r>
      <w:r w:rsidR="0028288E" w:rsidRPr="004D0022">
        <w:rPr>
          <w:lang w:val="sv-SE"/>
        </w:rPr>
        <w:t xml:space="preserve"> 16 000 kW</w:t>
      </w:r>
      <w:r w:rsidRPr="004D0022">
        <w:rPr>
          <w:lang w:val="sv-SE"/>
        </w:rPr>
        <w:t xml:space="preserve">h per år). Den totala </w:t>
      </w:r>
      <w:r w:rsidR="0028288E" w:rsidRPr="004D0022">
        <w:rPr>
          <w:lang w:val="sv-SE"/>
        </w:rPr>
        <w:t>el</w:t>
      </w:r>
      <w:r w:rsidRPr="004D0022">
        <w:rPr>
          <w:lang w:val="sv-SE"/>
        </w:rPr>
        <w:t>användningen i Sverige</w:t>
      </w:r>
      <w:r w:rsidR="0028288E" w:rsidRPr="004D0022">
        <w:rPr>
          <w:lang w:val="sv-SE"/>
        </w:rPr>
        <w:t xml:space="preserve"> </w:t>
      </w:r>
      <w:r w:rsidRPr="004D0022">
        <w:rPr>
          <w:lang w:val="sv-SE"/>
        </w:rPr>
        <w:t xml:space="preserve">kan förklaras av en </w:t>
      </w:r>
      <w:r w:rsidR="0028288E" w:rsidRPr="004D0022">
        <w:rPr>
          <w:lang w:val="sv-SE"/>
        </w:rPr>
        <w:t xml:space="preserve">stor </w:t>
      </w:r>
      <w:r w:rsidRPr="004D0022">
        <w:rPr>
          <w:lang w:val="sv-SE"/>
        </w:rPr>
        <w:t>elintensiv</w:t>
      </w:r>
      <w:r w:rsidR="0028288E" w:rsidRPr="004D0022">
        <w:rPr>
          <w:lang w:val="sv-SE"/>
        </w:rPr>
        <w:t xml:space="preserve"> industri</w:t>
      </w:r>
      <w:r w:rsidRPr="004D0022">
        <w:rPr>
          <w:lang w:val="sv-SE"/>
        </w:rPr>
        <w:t>, ett kallt klimat, en hög andel elvärme och</w:t>
      </w:r>
      <w:r w:rsidR="0028288E" w:rsidRPr="004D0022">
        <w:rPr>
          <w:lang w:val="sv-SE"/>
        </w:rPr>
        <w:t xml:space="preserve"> historiskt låga elpriser. </w:t>
      </w:r>
      <w:r w:rsidR="0028288E" w:rsidRPr="004D0022">
        <w:rPr>
          <w:lang w:val="sv-SE"/>
        </w:rPr>
        <w:t>Det är viktigt att notera att i jämförelse med de övriga länder som utgör EU-15 var den genomsnittliga</w:t>
      </w:r>
      <w:r w:rsidR="0028288E" w:rsidRPr="004D0022">
        <w:rPr>
          <w:lang w:val="sv-SE"/>
        </w:rPr>
        <w:t xml:space="preserve"> </w:t>
      </w:r>
      <w:r w:rsidR="0028288E" w:rsidRPr="004D0022">
        <w:rPr>
          <w:lang w:val="sv-SE"/>
        </w:rPr>
        <w:t xml:space="preserve">elanvändningen är cirka </w:t>
      </w:r>
      <w:proofErr w:type="gramStart"/>
      <w:r w:rsidR="0028288E" w:rsidRPr="004D0022">
        <w:rPr>
          <w:lang w:val="sv-SE"/>
        </w:rPr>
        <w:t>54%</w:t>
      </w:r>
      <w:proofErr w:type="gramEnd"/>
      <w:r w:rsidR="0028288E" w:rsidRPr="004D0022">
        <w:rPr>
          <w:lang w:val="sv-SE"/>
        </w:rPr>
        <w:t xml:space="preserve"> lägre än i Sverige</w:t>
      </w:r>
      <w:r w:rsidR="0028288E" w:rsidRPr="004D0022">
        <w:rPr>
          <w:rStyle w:val="FootnoteReference"/>
          <w:lang w:val="sv-SE"/>
        </w:rPr>
        <w:footnoteReference w:id="1"/>
      </w:r>
      <w:r w:rsidR="0028288E" w:rsidRPr="004D0022">
        <w:rPr>
          <w:lang w:val="sv-SE"/>
        </w:rPr>
        <w:t>.</w:t>
      </w:r>
      <w:r w:rsidR="0028288E" w:rsidRPr="004D0022">
        <w:rPr>
          <w:lang w:val="sv-SE"/>
        </w:rPr>
        <w:t xml:space="preserve"> </w:t>
      </w:r>
      <w:r w:rsidR="0028288E" w:rsidRPr="004D0022">
        <w:rPr>
          <w:lang w:val="sv-SE"/>
        </w:rPr>
        <w:t xml:space="preserve">Å andra sidan </w:t>
      </w:r>
      <w:r w:rsidR="0028288E" w:rsidRPr="004D0022">
        <w:rPr>
          <w:lang w:val="sv-SE"/>
        </w:rPr>
        <w:t xml:space="preserve">påverkas också hushållens </w:t>
      </w:r>
      <w:r w:rsidR="0028288E" w:rsidRPr="004D0022">
        <w:rPr>
          <w:lang w:val="sv-SE"/>
        </w:rPr>
        <w:t>energiförbrukning av</w:t>
      </w:r>
      <w:r w:rsidR="0028288E" w:rsidRPr="004D0022">
        <w:rPr>
          <w:lang w:val="sv-SE"/>
        </w:rPr>
        <w:t xml:space="preserve"> </w:t>
      </w:r>
      <w:r w:rsidR="0028288E" w:rsidRPr="004D0022">
        <w:rPr>
          <w:lang w:val="sv-SE"/>
        </w:rPr>
        <w:t xml:space="preserve">många sociodemografiska faktorer. </w:t>
      </w:r>
      <w:r w:rsidR="0028288E" w:rsidRPr="004D0022">
        <w:rPr>
          <w:lang w:val="sv-SE"/>
        </w:rPr>
        <w:t>Inkomst, ålder och antalet personer i hushållet är några viktiga parametrar som kan påverka resultatet</w:t>
      </w:r>
      <w:r w:rsidR="0028288E" w:rsidRPr="004D0022">
        <w:rPr>
          <w:rStyle w:val="FootnoteReference"/>
          <w:lang w:val="sv-SE"/>
        </w:rPr>
        <w:footnoteReference w:id="2"/>
      </w:r>
      <w:r w:rsidR="0028288E" w:rsidRPr="004D0022">
        <w:rPr>
          <w:lang w:val="sv-SE"/>
        </w:rPr>
        <w:t>.</w:t>
      </w:r>
    </w:p>
    <w:p w:rsidR="00A06BC5" w:rsidRPr="004D0022" w:rsidRDefault="00FB1685" w:rsidP="009D5BFB">
      <w:pPr>
        <w:pStyle w:val="Heading2"/>
        <w:rPr>
          <w:lang w:val="sv-SE"/>
        </w:rPr>
      </w:pPr>
      <w:bookmarkStart w:id="3" w:name="_Toc390222489"/>
      <w:r w:rsidRPr="004D0022">
        <w:rPr>
          <w:lang w:val="sv-SE"/>
        </w:rPr>
        <w:t>Syfte</w:t>
      </w:r>
      <w:bookmarkEnd w:id="3"/>
    </w:p>
    <w:p w:rsidR="0036266D" w:rsidRPr="004D0022" w:rsidRDefault="00FB1685" w:rsidP="00A06BC5">
      <w:pPr>
        <w:pStyle w:val="Body"/>
        <w:rPr>
          <w:lang w:val="sv-SE"/>
        </w:rPr>
      </w:pPr>
      <w:r w:rsidRPr="004D0022">
        <w:rPr>
          <w:lang w:val="sv-SE"/>
        </w:rPr>
        <w:t xml:space="preserve">Syftet med Mälardalens högskolas engagemang i uppföljningen av energispartävlingen ’Energismarta grannar’ har varit att under två tillfällen genomföra en enkätstudie för att se hur tävlingen fortlöper, och speciellt utvärdera deltagarnas inställning till energifrågor, samt att försöka förstå vilken hjälp som de har </w:t>
      </w:r>
      <w:r w:rsidR="00615276" w:rsidRPr="004D0022">
        <w:rPr>
          <w:lang w:val="sv-SE"/>
        </w:rPr>
        <w:t xml:space="preserve">haft </w:t>
      </w:r>
      <w:r w:rsidRPr="004D0022">
        <w:rPr>
          <w:lang w:val="sv-SE"/>
        </w:rPr>
        <w:t>av de tekniska hjälpmedel som erbjudits inom ramen för tävlingen. Det övergripande syftet med hela projektet har varit att skapa och sprida en medvetenhet kring energi och energianvändning.</w:t>
      </w:r>
    </w:p>
    <w:p w:rsidR="00A06BC5" w:rsidRPr="004D0022" w:rsidRDefault="00FB1685" w:rsidP="0036266D">
      <w:pPr>
        <w:pStyle w:val="Heading2"/>
        <w:rPr>
          <w:lang w:val="sv-SE"/>
        </w:rPr>
      </w:pPr>
      <w:bookmarkStart w:id="4" w:name="_Toc390222490"/>
      <w:r w:rsidRPr="004D0022">
        <w:rPr>
          <w:lang w:val="sv-SE"/>
        </w:rPr>
        <w:t>Mål</w:t>
      </w:r>
      <w:bookmarkEnd w:id="4"/>
    </w:p>
    <w:p w:rsidR="0036266D" w:rsidRPr="004D0022" w:rsidRDefault="00F81571" w:rsidP="0036266D">
      <w:pPr>
        <w:pStyle w:val="Body"/>
        <w:rPr>
          <w:lang w:val="sv-SE"/>
        </w:rPr>
      </w:pPr>
      <w:r w:rsidRPr="004D0022">
        <w:rPr>
          <w:lang w:val="sv-SE"/>
        </w:rPr>
        <w:t xml:space="preserve">Målet med att genomföra </w:t>
      </w:r>
      <w:r w:rsidR="00615276" w:rsidRPr="004D0022">
        <w:rPr>
          <w:lang w:val="sv-SE"/>
        </w:rPr>
        <w:t>två</w:t>
      </w:r>
      <w:r w:rsidRPr="004D0022">
        <w:rPr>
          <w:lang w:val="sv-SE"/>
        </w:rPr>
        <w:t xml:space="preserve"> enkätstudie</w:t>
      </w:r>
      <w:r w:rsidR="00615276" w:rsidRPr="004D0022">
        <w:rPr>
          <w:lang w:val="sv-SE"/>
        </w:rPr>
        <w:t>r</w:t>
      </w:r>
      <w:r w:rsidRPr="004D0022">
        <w:rPr>
          <w:lang w:val="sv-SE"/>
        </w:rPr>
        <w:t xml:space="preserve"> för att öka förståelsen hur hushållens attityder och beteende i energirelaterade frågor ser ut</w:t>
      </w:r>
      <w:r w:rsidR="00615276" w:rsidRPr="004D0022">
        <w:rPr>
          <w:lang w:val="sv-SE"/>
        </w:rPr>
        <w:t>, samt hur dessa utvecklas</w:t>
      </w:r>
      <w:r w:rsidRPr="004D0022">
        <w:rPr>
          <w:lang w:val="sv-SE"/>
        </w:rPr>
        <w:t>. Vidare är ett mål att undersöka hushållens uppfattning av hur tekniska hjälpmedel kan assistera dem i strävan att minska sin energiförbrukning. Slutligen adresseras också hur hushållen uppfattar de långsiktiga effekterna i energibesparingsåtgärder i samband med deltagandet i tävlingen ’Energismarta grannar’.</w:t>
      </w:r>
    </w:p>
    <w:p w:rsidR="00CC47EA" w:rsidRPr="004D0022" w:rsidRDefault="00FB1685" w:rsidP="004B7919">
      <w:pPr>
        <w:pStyle w:val="Heading1"/>
      </w:pPr>
      <w:bookmarkStart w:id="5" w:name="_Toc390222491"/>
      <w:r w:rsidRPr="004D0022">
        <w:lastRenderedPageBreak/>
        <w:t>Metod</w:t>
      </w:r>
      <w:bookmarkEnd w:id="5"/>
    </w:p>
    <w:p w:rsidR="00F81571" w:rsidRPr="004D0022" w:rsidRDefault="00F81571" w:rsidP="00F81571">
      <w:pPr>
        <w:pStyle w:val="Body"/>
        <w:rPr>
          <w:lang w:val="sv-SE"/>
        </w:rPr>
      </w:pPr>
      <w:r w:rsidRPr="004D0022">
        <w:rPr>
          <w:lang w:val="sv-SE"/>
        </w:rPr>
        <w:t xml:space="preserve">Studien baseras på en enkät som skickat ut till deltagare i tävlingen ’Energismarta grannar’. Urvalet har bestämts av Energikontor Sydost och de deltagare som de bjudit in att delta i tävlingen. Deltagarna kommer främst från sydvästra Sverige med tyngdpunkt på områdena kring Kalmar, Oskarshamn och Öland, men det finns även hushåll representerade från exempelvis Växjötrakten. Totalt har två utskick gjorts med samma enkät som grund. Det första utskicket gjordes i mitten på maj 2012 och skickade till totalt 43 deltagare. Totalt erhölls 16 svar, vilket ger en svarsfrekvens på ungefär 37 %. Det andra utskicket gjorde cirka ett år senare, i slutet av maj 2013. Totalt skickades enkäter ut till 68 hushåll, varav 26 svarade. Detta ger en svarsfrekvens på cirka 38 %. I båda fallen skickades inga påminnelser till deltagarna. Däremot var </w:t>
      </w:r>
      <w:r w:rsidR="004B7919" w:rsidRPr="004D0022">
        <w:rPr>
          <w:lang w:val="sv-SE"/>
        </w:rPr>
        <w:t>hushållen,</w:t>
      </w:r>
      <w:r w:rsidRPr="004D0022">
        <w:rPr>
          <w:lang w:val="sv-SE"/>
        </w:rPr>
        <w:t xml:space="preserve"> via tävlingsledningen</w:t>
      </w:r>
      <w:r w:rsidR="004B7919" w:rsidRPr="004D0022">
        <w:rPr>
          <w:lang w:val="sv-SE"/>
        </w:rPr>
        <w:t>,</w:t>
      </w:r>
      <w:r w:rsidRPr="004D0022">
        <w:rPr>
          <w:lang w:val="sv-SE"/>
        </w:rPr>
        <w:t xml:space="preserve"> informerade om att en enkät skulle skickas ut till dem från Mälardalens högskola.</w:t>
      </w:r>
    </w:p>
    <w:p w:rsidR="00555F04" w:rsidRPr="004D0022" w:rsidRDefault="00F81571" w:rsidP="00F81571">
      <w:pPr>
        <w:pStyle w:val="Body"/>
        <w:rPr>
          <w:lang w:val="sv-SE"/>
        </w:rPr>
      </w:pPr>
      <w:r w:rsidRPr="004D0022">
        <w:rPr>
          <w:lang w:val="sv-SE"/>
        </w:rPr>
        <w:t xml:space="preserve">Svarsfrekvensen ligger i paritet med tidigare enkätstudier som genomförts vid lärosätet. När det gäller mer generella frågor kring energi (attityder, beteenden och uppfattning om enklare hjälpmedel) ser </w:t>
      </w:r>
      <w:r w:rsidR="004B7919" w:rsidRPr="004D0022">
        <w:rPr>
          <w:lang w:val="sv-SE"/>
        </w:rPr>
        <w:t xml:space="preserve">har </w:t>
      </w:r>
      <w:r w:rsidRPr="004D0022">
        <w:rPr>
          <w:lang w:val="sv-SE"/>
        </w:rPr>
        <w:t>s</w:t>
      </w:r>
      <w:r w:rsidR="004B7919" w:rsidRPr="004D0022">
        <w:rPr>
          <w:lang w:val="sv-SE"/>
        </w:rPr>
        <w:t>varsfrekvenser mellan 25 – 45 % observerats, där skillnaderna främst beror</w:t>
      </w:r>
      <w:r w:rsidRPr="004D0022">
        <w:rPr>
          <w:lang w:val="sv-SE"/>
        </w:rPr>
        <w:t xml:space="preserve"> </w:t>
      </w:r>
      <w:r w:rsidR="004B7919" w:rsidRPr="004D0022">
        <w:rPr>
          <w:lang w:val="sv-SE"/>
        </w:rPr>
        <w:t xml:space="preserve">av hushållens </w:t>
      </w:r>
      <w:r w:rsidRPr="004D0022">
        <w:rPr>
          <w:lang w:val="sv-SE"/>
        </w:rPr>
        <w:t>boendeform</w:t>
      </w:r>
      <w:r w:rsidR="004B7919" w:rsidRPr="004D0022">
        <w:rPr>
          <w:lang w:val="sv-SE"/>
        </w:rPr>
        <w:t xml:space="preserve"> och därmed energianvändning</w:t>
      </w:r>
      <w:r w:rsidRPr="004D0022">
        <w:rPr>
          <w:lang w:val="sv-SE"/>
        </w:rPr>
        <w:t xml:space="preserve">. Tendensen är att hushåll </w:t>
      </w:r>
      <w:r w:rsidR="004B7919" w:rsidRPr="004D0022">
        <w:rPr>
          <w:lang w:val="sv-SE"/>
        </w:rPr>
        <w:t>som bor i hus/</w:t>
      </w:r>
      <w:r w:rsidRPr="004D0022">
        <w:rPr>
          <w:lang w:val="sv-SE"/>
        </w:rPr>
        <w:t xml:space="preserve">villa har en något högre svarsfrekvens jämfört med hushåll </w:t>
      </w:r>
      <w:r w:rsidR="004B7919" w:rsidRPr="004D0022">
        <w:rPr>
          <w:lang w:val="sv-SE"/>
        </w:rPr>
        <w:t xml:space="preserve">boende </w:t>
      </w:r>
      <w:r w:rsidRPr="004D0022">
        <w:rPr>
          <w:lang w:val="sv-SE"/>
        </w:rPr>
        <w:t>lägenhet.</w:t>
      </w:r>
      <w:r w:rsidR="007A780E" w:rsidRPr="004D0022">
        <w:rPr>
          <w:lang w:val="sv-SE"/>
        </w:rPr>
        <w:t xml:space="preserve"> Vid svårare frågeställningar, då hushållen behöver förstå framtida energipriser, eller potential för att spara energi tenderar svarsfrekvensen sjunka. MDH har erfarenheter mellan 13 – 25 %. En forskargrupp från Nya Zeeland rapporterar om svarsfrekvens kring 16 % då 400 hushålls efterfrågeflexibilitet kartlades</w:t>
      </w:r>
      <w:r w:rsidR="007A780E" w:rsidRPr="004D0022">
        <w:rPr>
          <w:rStyle w:val="FootnoteReference"/>
          <w:lang w:val="sv-SE"/>
        </w:rPr>
        <w:footnoteReference w:id="3"/>
      </w:r>
      <w:r w:rsidR="007A780E" w:rsidRPr="004D0022">
        <w:rPr>
          <w:lang w:val="sv-SE"/>
        </w:rPr>
        <w:t>.</w:t>
      </w:r>
    </w:p>
    <w:p w:rsidR="00F81571" w:rsidRPr="004D0022" w:rsidRDefault="00F81571" w:rsidP="004B7919">
      <w:pPr>
        <w:pStyle w:val="Heading2"/>
        <w:rPr>
          <w:lang w:val="sv-SE"/>
        </w:rPr>
      </w:pPr>
      <w:bookmarkStart w:id="6" w:name="_Toc390222492"/>
      <w:r w:rsidRPr="004D0022">
        <w:rPr>
          <w:lang w:val="sv-SE"/>
        </w:rPr>
        <w:t>Enkätens indelning</w:t>
      </w:r>
      <w:bookmarkEnd w:id="6"/>
    </w:p>
    <w:p w:rsidR="004B7919" w:rsidRPr="004D0022" w:rsidRDefault="00F81571" w:rsidP="00F81571">
      <w:pPr>
        <w:pStyle w:val="Body"/>
        <w:rPr>
          <w:lang w:val="sv-SE"/>
        </w:rPr>
      </w:pPr>
      <w:r w:rsidRPr="004D0022">
        <w:rPr>
          <w:lang w:val="sv-SE"/>
        </w:rPr>
        <w:t>Enkäten kan sägas vara indelad i fyra olika delar</w:t>
      </w:r>
      <w:r w:rsidR="004B7919" w:rsidRPr="004D0022">
        <w:rPr>
          <w:lang w:val="sv-SE"/>
        </w:rPr>
        <w:t xml:space="preserve"> (se bilaga 1)</w:t>
      </w:r>
      <w:r w:rsidRPr="004D0022">
        <w:rPr>
          <w:lang w:val="sv-SE"/>
        </w:rPr>
        <w:t>. Initialt har ett antal bakgrundsfrågor om hushållen samlats in, bl.a. antal familjemedlemmar, ålder (på respondenten), utbildningsnivå, hushållets bruttoinkomst samt vilka apparater som finns i hushållet. I den andra delen adresseras hushållens intresse av att använda olika typer av informationskanaler för att ta del av sin energiförbrukning, samt hur generellt ser på informationslösningar via Internet. I</w:t>
      </w:r>
      <w:r w:rsidR="004B7919" w:rsidRPr="004D0022">
        <w:rPr>
          <w:lang w:val="sv-SE"/>
        </w:rPr>
        <w:t xml:space="preserve"> den tredje delen </w:t>
      </w:r>
      <w:proofErr w:type="gramStart"/>
      <w:r w:rsidR="004B7919" w:rsidRPr="004D0022">
        <w:rPr>
          <w:lang w:val="sv-SE"/>
        </w:rPr>
        <w:t>ombedjes</w:t>
      </w:r>
      <w:proofErr w:type="gramEnd"/>
      <w:r w:rsidRPr="004D0022">
        <w:rPr>
          <w:lang w:val="sv-SE"/>
        </w:rPr>
        <w:t xml:space="preserve"> hushållen att svara på frågor som relaterar till den egna elförbrukningen samt vilken kunskap hushållen har för att kunna </w:t>
      </w:r>
      <w:r w:rsidR="004B7919" w:rsidRPr="004D0022">
        <w:rPr>
          <w:lang w:val="sv-SE"/>
        </w:rPr>
        <w:t xml:space="preserve">minska sin egen elförbrukning. I den sista och fjärde delen av enkäten fokuserar främst på hushållens beteende och energiförbrukningsvanor med relation till el- och värmeenergi. </w:t>
      </w:r>
      <w:r w:rsidR="004B7919" w:rsidRPr="004D0022">
        <w:rPr>
          <w:lang w:val="sv-SE"/>
        </w:rPr>
        <w:lastRenderedPageBreak/>
        <w:t>Slutligen ställs några avslutande frågor kring de långsiktiga erfarenheterna hos hushållen då de deltagit i tävlingen ’Energismarta grannar’.</w:t>
      </w:r>
    </w:p>
    <w:p w:rsidR="004D0022" w:rsidRPr="004D0022" w:rsidRDefault="00F81571" w:rsidP="00F81571">
      <w:pPr>
        <w:pStyle w:val="Body"/>
        <w:rPr>
          <w:lang w:val="sv-SE"/>
        </w:rPr>
      </w:pPr>
      <w:r w:rsidRPr="004D0022">
        <w:rPr>
          <w:lang w:val="sv-SE"/>
        </w:rPr>
        <w:t xml:space="preserve">I denna studie har dock syftet främst varit att förstå hushållens generella inställning till energi, deras attityder, vanor och erfarenheter av olika tekniska </w:t>
      </w:r>
      <w:r w:rsidR="004B7919" w:rsidRPr="004D0022">
        <w:rPr>
          <w:lang w:val="sv-SE"/>
        </w:rPr>
        <w:t>hjälpmedel. Bakgrundsfrågorna har framför allt ställts för att i framtiden kunna relatera hushållens svar till lärosätets tidigare studier när det gäller energisparåtgärder, förbrukningsåterkoppling och efterfrågeflexibilitet, och används inte tillfullo i denna resultatsammanställning.</w:t>
      </w:r>
    </w:p>
    <w:p w:rsidR="004D0022" w:rsidRPr="004D0022" w:rsidRDefault="004D0022">
      <w:r w:rsidRPr="004D0022">
        <w:br w:type="page"/>
      </w:r>
    </w:p>
    <w:p w:rsidR="004D0022" w:rsidRPr="004D0022" w:rsidRDefault="004D0022">
      <w:pPr>
        <w:rPr>
          <w:rFonts w:ascii="Times New Roman" w:hAnsi="Times New Roman"/>
          <w:sz w:val="24"/>
        </w:rPr>
      </w:pPr>
    </w:p>
    <w:p w:rsidR="008E489B" w:rsidRPr="004D0022" w:rsidRDefault="008E489B" w:rsidP="00F81571">
      <w:pPr>
        <w:pStyle w:val="Body"/>
        <w:rPr>
          <w:lang w:val="sv-SE"/>
        </w:rPr>
        <w:sectPr w:rsidR="008E489B" w:rsidRPr="004D0022">
          <w:pgSz w:w="11906" w:h="16838"/>
          <w:pgMar w:top="1417" w:right="1417" w:bottom="1417" w:left="1417" w:header="708" w:footer="708" w:gutter="0"/>
          <w:cols w:space="708"/>
          <w:docGrid w:linePitch="360"/>
        </w:sectPr>
      </w:pPr>
    </w:p>
    <w:p w:rsidR="00F81571" w:rsidRPr="004D0022" w:rsidRDefault="00F81571" w:rsidP="004B7919">
      <w:pPr>
        <w:pStyle w:val="Heading1"/>
      </w:pPr>
      <w:bookmarkStart w:id="7" w:name="_Toc390222493"/>
      <w:r w:rsidRPr="004D0022">
        <w:lastRenderedPageBreak/>
        <w:t>Resultat</w:t>
      </w:r>
      <w:bookmarkEnd w:id="7"/>
    </w:p>
    <w:p w:rsidR="005E0470" w:rsidRPr="004D0022" w:rsidRDefault="005E0470" w:rsidP="007A780E">
      <w:pPr>
        <w:pStyle w:val="Heading2"/>
        <w:rPr>
          <w:lang w:val="sv-SE"/>
        </w:rPr>
      </w:pPr>
      <w:bookmarkStart w:id="8" w:name="_Toc390222494"/>
      <w:r w:rsidRPr="004D0022">
        <w:rPr>
          <w:lang w:val="sv-SE"/>
        </w:rPr>
        <w:t>Enkät 2012</w:t>
      </w:r>
      <w:bookmarkEnd w:id="8"/>
    </w:p>
    <w:p w:rsidR="00FB2215" w:rsidRPr="004D0022" w:rsidRDefault="00FB2215" w:rsidP="00F81571">
      <w:pPr>
        <w:rPr>
          <w:rFonts w:ascii="Times New Roman" w:hAnsi="Times New Roman" w:cs="Times New Roman"/>
          <w:sz w:val="24"/>
          <w:szCs w:val="24"/>
        </w:rPr>
      </w:pPr>
      <w:r w:rsidRPr="004D0022">
        <w:rPr>
          <w:rFonts w:ascii="Times New Roman" w:hAnsi="Times New Roman" w:cs="Times New Roman"/>
          <w:sz w:val="24"/>
          <w:szCs w:val="24"/>
        </w:rPr>
        <w:t>Av de 43 enkäter som skickades ut så svarade 16 hushåll (37 %). Av dessa 16 hushåll uppger hälften att de har hemmavarand</w:t>
      </w:r>
      <w:r w:rsidR="00D11023">
        <w:rPr>
          <w:rFonts w:ascii="Times New Roman" w:hAnsi="Times New Roman" w:cs="Times New Roman"/>
          <w:sz w:val="24"/>
          <w:szCs w:val="24"/>
        </w:rPr>
        <w:t>e barn eller ungdomar. I figur 1</w:t>
      </w:r>
      <w:r w:rsidRPr="004D0022">
        <w:rPr>
          <w:rFonts w:ascii="Times New Roman" w:hAnsi="Times New Roman" w:cs="Times New Roman"/>
          <w:sz w:val="24"/>
          <w:szCs w:val="24"/>
        </w:rPr>
        <w:t xml:space="preserve"> ses fördelningen mellan antal hushåll och antal familjemedlemmar.</w:t>
      </w:r>
    </w:p>
    <w:p w:rsidR="005E0470" w:rsidRPr="004D0022" w:rsidRDefault="00FB2215" w:rsidP="00F81571">
      <w:pPr>
        <w:rPr>
          <w:rFonts w:ascii="Times New Roman" w:hAnsi="Times New Roman" w:cs="Times New Roman"/>
          <w:sz w:val="24"/>
          <w:szCs w:val="24"/>
        </w:rPr>
      </w:pPr>
      <w:r w:rsidRPr="004D0022">
        <w:rPr>
          <w:rFonts w:ascii="Times New Roman" w:hAnsi="Times New Roman" w:cs="Times New Roman"/>
          <w:sz w:val="24"/>
          <w:szCs w:val="24"/>
        </w:rPr>
        <w:t xml:space="preserve"> </w:t>
      </w:r>
      <w:r w:rsidRPr="004D0022">
        <w:rPr>
          <w:rFonts w:ascii="Times New Roman" w:hAnsi="Times New Roman" w:cs="Times New Roman"/>
          <w:noProof/>
          <w:sz w:val="24"/>
          <w:szCs w:val="24"/>
          <w:lang w:eastAsia="en-GB"/>
        </w:rPr>
        <w:drawing>
          <wp:inline distT="0" distB="0" distL="0" distR="0" wp14:anchorId="15F65342">
            <wp:extent cx="4762500" cy="2735580"/>
            <wp:effectExtent l="0" t="0" r="0" b="7620"/>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2735580"/>
                    </a:xfrm>
                    <a:prstGeom prst="rect">
                      <a:avLst/>
                    </a:prstGeom>
                    <a:noFill/>
                  </pic:spPr>
                </pic:pic>
              </a:graphicData>
            </a:graphic>
          </wp:inline>
        </w:drawing>
      </w:r>
    </w:p>
    <w:p w:rsidR="005E0470" w:rsidRPr="004D0022" w:rsidRDefault="00FB2215" w:rsidP="00FB2215">
      <w:pPr>
        <w:pStyle w:val="Figure"/>
        <w:rPr>
          <w:lang w:val="sv-SE"/>
        </w:rPr>
      </w:pPr>
      <w:r w:rsidRPr="004D0022">
        <w:rPr>
          <w:lang w:val="sv-SE"/>
        </w:rPr>
        <w:t>Fördelning av antal familjemedlemmar i respektive hushåll.</w:t>
      </w:r>
    </w:p>
    <w:p w:rsidR="00ED7278" w:rsidRPr="004D0022" w:rsidRDefault="00ED7278" w:rsidP="00ED7278">
      <w:pPr>
        <w:pStyle w:val="Body"/>
        <w:rPr>
          <w:lang w:val="sv-SE"/>
        </w:rPr>
      </w:pPr>
      <w:r w:rsidRPr="004D0022">
        <w:rPr>
          <w:lang w:val="sv-SE"/>
        </w:rPr>
        <w:t xml:space="preserve">Den totala inkomsten hos de hushåll som svarat på 2012-års enkät varierar mellan nästan 19 000 till nästan 100 000 kr per hushåll. </w:t>
      </w:r>
      <w:r w:rsidR="00D11023">
        <w:rPr>
          <w:lang w:val="sv-SE"/>
        </w:rPr>
        <w:t>I figur 2</w:t>
      </w:r>
      <w:r w:rsidRPr="004D0022">
        <w:rPr>
          <w:lang w:val="sv-SE"/>
        </w:rPr>
        <w:t xml:space="preserve"> visas den genomsnittliga inkomsten per person hos de 16 hushåll som svarat på enkäten.</w:t>
      </w:r>
    </w:p>
    <w:p w:rsidR="00ED7278" w:rsidRPr="004D0022" w:rsidRDefault="00ED7278" w:rsidP="00ED7278">
      <w:pPr>
        <w:pStyle w:val="Body"/>
        <w:rPr>
          <w:lang w:val="sv-SE"/>
        </w:rPr>
      </w:pPr>
      <w:r w:rsidRPr="004D0022">
        <w:rPr>
          <w:noProof/>
          <w:lang w:val="sv-SE" w:eastAsia="en-GB"/>
        </w:rPr>
        <w:drawing>
          <wp:inline distT="0" distB="0" distL="0" distR="0" wp14:anchorId="2A2261F4">
            <wp:extent cx="4579620" cy="2750820"/>
            <wp:effectExtent l="0" t="0" r="0" b="0"/>
            <wp:docPr id="2061" name="Picture 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rsidR="00ED7278" w:rsidRPr="004D0022" w:rsidRDefault="00ED7278" w:rsidP="00ED7278">
      <w:pPr>
        <w:pStyle w:val="Figure"/>
        <w:rPr>
          <w:lang w:val="sv-SE"/>
        </w:rPr>
      </w:pPr>
      <w:r w:rsidRPr="004D0022">
        <w:rPr>
          <w:lang w:val="sv-SE"/>
        </w:rPr>
        <w:t xml:space="preserve">Inkomstintervall per person för hushållen. </w:t>
      </w:r>
    </w:p>
    <w:p w:rsidR="00ED7278" w:rsidRPr="004D0022" w:rsidRDefault="00B71177" w:rsidP="00ED7278">
      <w:pPr>
        <w:pStyle w:val="Body"/>
        <w:rPr>
          <w:lang w:val="sv-SE"/>
        </w:rPr>
      </w:pPr>
      <w:r w:rsidRPr="004D0022">
        <w:rPr>
          <w:lang w:val="sv-SE"/>
        </w:rPr>
        <w:lastRenderedPageBreak/>
        <w:t xml:space="preserve">Av de respondenter som svarat för respektive hushåll så är en majoritet i åldersintervallet 45-54 år (50 %). Den näst största kategorin respondenter återfinns i åldersintervallet 55-64 år (25 %). Den totala </w:t>
      </w:r>
      <w:r w:rsidR="00D11023">
        <w:rPr>
          <w:lang w:val="sv-SE"/>
        </w:rPr>
        <w:t>fördelningen återfinns i figur 3</w:t>
      </w:r>
      <w:r w:rsidRPr="004D0022">
        <w:rPr>
          <w:lang w:val="sv-SE"/>
        </w:rPr>
        <w:t xml:space="preserve">. </w:t>
      </w:r>
    </w:p>
    <w:p w:rsidR="00B71177" w:rsidRPr="004D0022" w:rsidRDefault="00B71177" w:rsidP="00ED7278">
      <w:pPr>
        <w:pStyle w:val="Body"/>
        <w:rPr>
          <w:lang w:val="sv-SE"/>
        </w:rPr>
      </w:pPr>
    </w:p>
    <w:p w:rsidR="00B71177" w:rsidRPr="004D0022" w:rsidRDefault="00B71177" w:rsidP="00ED7278">
      <w:pPr>
        <w:pStyle w:val="Body"/>
        <w:rPr>
          <w:lang w:val="sv-SE"/>
        </w:rPr>
      </w:pPr>
      <w:r w:rsidRPr="004D0022">
        <w:rPr>
          <w:noProof/>
          <w:lang w:val="sv-SE" w:eastAsia="en-GB"/>
        </w:rPr>
        <w:drawing>
          <wp:inline distT="0" distB="0" distL="0" distR="0" wp14:anchorId="5C87ECE2">
            <wp:extent cx="4579620" cy="2750820"/>
            <wp:effectExtent l="0" t="0" r="0" b="0"/>
            <wp:docPr id="2062" name="Picture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rsidR="00B71177" w:rsidRPr="004D0022" w:rsidRDefault="00B71177" w:rsidP="00B71177">
      <w:pPr>
        <w:pStyle w:val="Figure"/>
        <w:rPr>
          <w:lang w:val="sv-SE"/>
        </w:rPr>
      </w:pPr>
      <w:r w:rsidRPr="004D0022">
        <w:rPr>
          <w:lang w:val="sv-SE"/>
        </w:rPr>
        <w:t>Fördelning av antal respondenter (hushåll) i olika åldersintervall.</w:t>
      </w:r>
    </w:p>
    <w:p w:rsidR="00B71177" w:rsidRPr="004D0022" w:rsidRDefault="001662B9" w:rsidP="00ED7278">
      <w:pPr>
        <w:pStyle w:val="Body"/>
        <w:rPr>
          <w:lang w:val="sv-SE"/>
        </w:rPr>
      </w:pPr>
      <w:r w:rsidRPr="004D0022">
        <w:rPr>
          <w:lang w:val="sv-SE"/>
        </w:rPr>
        <w:t xml:space="preserve">På frågan om hushållen är intresserade av att ta del av sin egen förbrukning via Internet så anger 10 stycken av hushållen (62 %) att de tycker att detta vore intressant, 3 hushåll vardera anger att de </w:t>
      </w:r>
      <w:proofErr w:type="gramStart"/>
      <w:r w:rsidRPr="004D0022">
        <w:rPr>
          <w:lang w:val="sv-SE"/>
        </w:rPr>
        <w:t>ej</w:t>
      </w:r>
      <w:proofErr w:type="gramEnd"/>
      <w:r w:rsidRPr="004D0022">
        <w:rPr>
          <w:lang w:val="sv-SE"/>
        </w:rPr>
        <w:t xml:space="preserve"> är intresserade (19 %) respektive inte vet (19 %). Något färre (50 %) anger att de är intresserade av energiråd eller energispartips via Internet. Däremot anger 12 stycken (75 %) att de har tidigare erfarenhet av att använda verktyg för att följa sin energiförbrukning.</w:t>
      </w:r>
    </w:p>
    <w:p w:rsidR="00716A77" w:rsidRPr="004D0022" w:rsidRDefault="00716A77" w:rsidP="00ED7278">
      <w:pPr>
        <w:pStyle w:val="Body"/>
        <w:rPr>
          <w:lang w:val="sv-SE"/>
        </w:rPr>
      </w:pPr>
      <w:r w:rsidRPr="004D0022">
        <w:rPr>
          <w:lang w:val="sv-SE"/>
        </w:rPr>
        <w:t xml:space="preserve">En majoritet av hushållen är </w:t>
      </w:r>
      <w:r w:rsidR="006A2829" w:rsidRPr="004D0022">
        <w:rPr>
          <w:lang w:val="sv-SE"/>
        </w:rPr>
        <w:t>mycket intresserade av energifrågor (81 %), stävar efter att minska hushållets energiförbrukning (74 %) samt anser sig också ha god kännedom om hur energiförbrukningen kan sänkas (99 %). Däremot anges ett något lägre intresse för att lära sig mer om hur energiförbrukningen kan minskas.</w:t>
      </w:r>
    </w:p>
    <w:p w:rsidR="001662B9" w:rsidRPr="004D0022" w:rsidRDefault="006400ED" w:rsidP="00ED7278">
      <w:pPr>
        <w:pStyle w:val="Body"/>
        <w:rPr>
          <w:lang w:val="sv-SE"/>
        </w:rPr>
      </w:pPr>
      <w:r w:rsidRPr="004D0022">
        <w:rPr>
          <w:lang w:val="sv-SE"/>
        </w:rPr>
        <w:t xml:space="preserve">När det gäller olika alternativ som hushållen anser som intressanta när det gäller att få energiinformation förmedlad framstår displayer som </w:t>
      </w:r>
      <w:r w:rsidR="003C229C" w:rsidRPr="004D0022">
        <w:rPr>
          <w:lang w:val="sv-SE"/>
        </w:rPr>
        <w:t xml:space="preserve">de mest populära. Som det visats i figuren ovan så framgår det att antalet respondenter i vissa åldersintervall </w:t>
      </w:r>
      <w:r w:rsidR="00D11023">
        <w:rPr>
          <w:lang w:val="sv-SE"/>
        </w:rPr>
        <w:t>är väldigt begränsat. I Tabell 1</w:t>
      </w:r>
      <w:r w:rsidR="003C229C" w:rsidRPr="004D0022">
        <w:rPr>
          <w:lang w:val="sv-SE"/>
        </w:rPr>
        <w:t xml:space="preserve"> så ges en översikt hur olika respondenter i olika åldersintervall föredrar att få energiinformationen återkopplad. På en skala 1 – 7 har respondenterna angett vilka </w:t>
      </w:r>
      <w:proofErr w:type="spellStart"/>
      <w:r w:rsidR="003C229C" w:rsidRPr="004D0022">
        <w:rPr>
          <w:lang w:val="sv-SE"/>
        </w:rPr>
        <w:t>alterntiv</w:t>
      </w:r>
      <w:proofErr w:type="spellEnd"/>
      <w:r w:rsidR="003C229C" w:rsidRPr="004D0022">
        <w:rPr>
          <w:lang w:val="sv-SE"/>
        </w:rPr>
        <w:t xml:space="preserve"> som de föredrar för energiförbrukningsåterkoppling. </w:t>
      </w:r>
      <w:proofErr w:type="gramStart"/>
      <w:r w:rsidR="003C229C" w:rsidRPr="004D0022">
        <w:rPr>
          <w:lang w:val="sv-SE"/>
        </w:rPr>
        <w:t xml:space="preserve">Ett lågt värde (’1’) indikerar ett positivt </w:t>
      </w:r>
      <w:r w:rsidR="003C229C" w:rsidRPr="004D0022">
        <w:rPr>
          <w:lang w:val="sv-SE"/>
        </w:rPr>
        <w:lastRenderedPageBreak/>
        <w:t xml:space="preserve">ställningstagande för en teknik, medan </w:t>
      </w:r>
      <w:r w:rsidR="00F40135" w:rsidRPr="004D0022">
        <w:rPr>
          <w:lang w:val="sv-SE"/>
        </w:rPr>
        <w:t>ett högre värde</w:t>
      </w:r>
      <w:r w:rsidR="003C229C" w:rsidRPr="004D0022">
        <w:rPr>
          <w:lang w:val="sv-SE"/>
        </w:rPr>
        <w:t xml:space="preserve"> (’7’</w:t>
      </w:r>
      <w:proofErr w:type="gramEnd"/>
      <w:r w:rsidR="003C229C" w:rsidRPr="004D0022">
        <w:rPr>
          <w:lang w:val="sv-SE"/>
        </w:rPr>
        <w:t xml:space="preserve">) indikerar att informationskanalen är ointressant. </w:t>
      </w:r>
    </w:p>
    <w:p w:rsidR="00F40135" w:rsidRPr="004D0022" w:rsidRDefault="00F40135" w:rsidP="00F40135">
      <w:pPr>
        <w:pStyle w:val="Table"/>
        <w:numPr>
          <w:ilvl w:val="0"/>
          <w:numId w:val="0"/>
        </w:numPr>
        <w:ind w:left="964" w:hanging="964"/>
        <w:rPr>
          <w:lang w:val="sv-SE"/>
        </w:rPr>
      </w:pPr>
      <w:r w:rsidRPr="004D0022">
        <w:rPr>
          <w:lang w:val="sv-SE"/>
        </w:rPr>
        <w:t>Tabell 1. Översikt av hur respondenter i olika ålderskategorier föredrar att få energiinformation.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07"/>
        <w:gridCol w:w="1007"/>
        <w:gridCol w:w="1007"/>
        <w:gridCol w:w="1007"/>
        <w:gridCol w:w="1007"/>
        <w:gridCol w:w="1007"/>
        <w:gridCol w:w="1007"/>
        <w:gridCol w:w="1007"/>
      </w:tblGrid>
      <w:tr w:rsidR="00F40135" w:rsidRPr="004D0022" w:rsidTr="00F40135">
        <w:trPr>
          <w:trHeight w:val="454"/>
        </w:trPr>
        <w:tc>
          <w:tcPr>
            <w:tcW w:w="1006" w:type="dxa"/>
            <w:tcBorders>
              <w:top w:val="single" w:sz="4" w:space="0" w:color="auto"/>
              <w:bottom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bottom w:val="single" w:sz="4" w:space="0" w:color="auto"/>
            </w:tcBorders>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Brev</w:t>
            </w:r>
          </w:p>
        </w:tc>
        <w:tc>
          <w:tcPr>
            <w:tcW w:w="1007" w:type="dxa"/>
            <w:tcBorders>
              <w:top w:val="single" w:sz="4" w:space="0" w:color="auto"/>
              <w:bottom w:val="single" w:sz="4" w:space="0" w:color="auto"/>
            </w:tcBorders>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Mina sidor</w:t>
            </w:r>
          </w:p>
        </w:tc>
        <w:tc>
          <w:tcPr>
            <w:tcW w:w="1007" w:type="dxa"/>
            <w:tcBorders>
              <w:top w:val="single" w:sz="4" w:space="0" w:color="auto"/>
              <w:bottom w:val="single" w:sz="4" w:space="0" w:color="auto"/>
            </w:tcBorders>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E-post</w:t>
            </w:r>
          </w:p>
        </w:tc>
        <w:tc>
          <w:tcPr>
            <w:tcW w:w="1007" w:type="dxa"/>
            <w:tcBorders>
              <w:top w:val="single" w:sz="4" w:space="0" w:color="auto"/>
              <w:bottom w:val="single" w:sz="4" w:space="0" w:color="auto"/>
            </w:tcBorders>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SMS</w:t>
            </w:r>
          </w:p>
        </w:tc>
        <w:tc>
          <w:tcPr>
            <w:tcW w:w="1007" w:type="dxa"/>
            <w:tcBorders>
              <w:top w:val="single" w:sz="4" w:space="0" w:color="auto"/>
              <w:bottom w:val="single" w:sz="4" w:space="0" w:color="auto"/>
            </w:tcBorders>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MMS</w:t>
            </w:r>
          </w:p>
        </w:tc>
        <w:tc>
          <w:tcPr>
            <w:tcW w:w="1007" w:type="dxa"/>
            <w:tcBorders>
              <w:top w:val="single" w:sz="4" w:space="0" w:color="auto"/>
              <w:bottom w:val="single" w:sz="4" w:space="0" w:color="auto"/>
            </w:tcBorders>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APP</w:t>
            </w:r>
          </w:p>
        </w:tc>
        <w:tc>
          <w:tcPr>
            <w:tcW w:w="1007" w:type="dxa"/>
            <w:tcBorders>
              <w:top w:val="single" w:sz="4" w:space="0" w:color="auto"/>
              <w:bottom w:val="single" w:sz="4" w:space="0" w:color="auto"/>
            </w:tcBorders>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TV</w:t>
            </w:r>
          </w:p>
        </w:tc>
        <w:tc>
          <w:tcPr>
            <w:tcW w:w="1007" w:type="dxa"/>
            <w:tcBorders>
              <w:top w:val="single" w:sz="4" w:space="0" w:color="auto"/>
              <w:bottom w:val="single" w:sz="4" w:space="0" w:color="auto"/>
            </w:tcBorders>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Display</w:t>
            </w:r>
          </w:p>
        </w:tc>
      </w:tr>
      <w:tr w:rsidR="00F40135" w:rsidRPr="004D0022" w:rsidTr="00F40135">
        <w:trPr>
          <w:trHeight w:val="454"/>
        </w:trPr>
        <w:tc>
          <w:tcPr>
            <w:tcW w:w="1006" w:type="dxa"/>
            <w:tcBorders>
              <w:top w:val="single" w:sz="4" w:space="0" w:color="auto"/>
            </w:tcBorders>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18-24</w:t>
            </w:r>
          </w:p>
        </w:tc>
        <w:tc>
          <w:tcPr>
            <w:tcW w:w="1007" w:type="dxa"/>
            <w:tcBorders>
              <w:top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 </w:t>
            </w:r>
          </w:p>
        </w:tc>
      </w:tr>
      <w:tr w:rsidR="00F40135" w:rsidRPr="004D0022" w:rsidTr="00F40135">
        <w:trPr>
          <w:trHeight w:val="454"/>
        </w:trPr>
        <w:tc>
          <w:tcPr>
            <w:tcW w:w="1006" w:type="dxa"/>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25-34</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3,0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3,0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3,0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2,0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2,0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1,0</w:t>
            </w:r>
          </w:p>
        </w:tc>
      </w:tr>
      <w:tr w:rsidR="00F40135" w:rsidRPr="004D0022" w:rsidTr="00F40135">
        <w:trPr>
          <w:trHeight w:val="454"/>
        </w:trPr>
        <w:tc>
          <w:tcPr>
            <w:tcW w:w="1006" w:type="dxa"/>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35-44</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2,0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2,0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5,5</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5,5</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4,0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5,0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1,5</w:t>
            </w:r>
          </w:p>
        </w:tc>
      </w:tr>
      <w:tr w:rsidR="00F40135" w:rsidRPr="004D0022" w:rsidTr="00F40135">
        <w:trPr>
          <w:trHeight w:val="454"/>
        </w:trPr>
        <w:tc>
          <w:tcPr>
            <w:tcW w:w="1006" w:type="dxa"/>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45-54</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5,1</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3,1</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4,0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5,6</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6,3</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3,6</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5,5</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3,0</w:t>
            </w:r>
          </w:p>
        </w:tc>
      </w:tr>
      <w:tr w:rsidR="00F40135" w:rsidRPr="004D0022" w:rsidTr="00F40135">
        <w:trPr>
          <w:trHeight w:val="454"/>
        </w:trPr>
        <w:tc>
          <w:tcPr>
            <w:tcW w:w="1006" w:type="dxa"/>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55-64</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5,5</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5,0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6,3</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3,3</w:t>
            </w:r>
          </w:p>
        </w:tc>
      </w:tr>
      <w:tr w:rsidR="00F40135" w:rsidRPr="004D0022" w:rsidTr="00F40135">
        <w:trPr>
          <w:trHeight w:val="454"/>
        </w:trPr>
        <w:tc>
          <w:tcPr>
            <w:tcW w:w="1006" w:type="dxa"/>
            <w:tcBorders>
              <w:bottom w:val="single" w:sz="4" w:space="0" w:color="auto"/>
            </w:tcBorders>
            <w:vAlign w:val="bottom"/>
          </w:tcPr>
          <w:p w:rsidR="00F40135" w:rsidRPr="004D0022" w:rsidRDefault="00F40135" w:rsidP="00F40135">
            <w:pPr>
              <w:jc w:val="center"/>
              <w:rPr>
                <w:rFonts w:ascii="Calibri" w:hAnsi="Calibri" w:cs="Calibri"/>
                <w:b/>
                <w:bCs/>
                <w:color w:val="000000"/>
              </w:rPr>
            </w:pPr>
            <w:r w:rsidRPr="004D0022">
              <w:rPr>
                <w:rFonts w:ascii="Calibri" w:hAnsi="Calibri" w:cs="Calibri"/>
                <w:b/>
                <w:bCs/>
                <w:color w:val="000000"/>
              </w:rPr>
              <w:t>65-</w:t>
            </w:r>
          </w:p>
        </w:tc>
        <w:tc>
          <w:tcPr>
            <w:tcW w:w="1007" w:type="dxa"/>
            <w:tcBorders>
              <w:bottom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 </w:t>
            </w:r>
          </w:p>
        </w:tc>
        <w:tc>
          <w:tcPr>
            <w:tcW w:w="1007" w:type="dxa"/>
            <w:tcBorders>
              <w:bottom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4,0</w:t>
            </w:r>
          </w:p>
        </w:tc>
        <w:tc>
          <w:tcPr>
            <w:tcW w:w="1007" w:type="dxa"/>
            <w:tcBorders>
              <w:bottom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tcBorders>
              <w:bottom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tcBorders>
              <w:bottom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tcBorders>
              <w:bottom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tcBorders>
              <w:bottom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7,0</w:t>
            </w:r>
          </w:p>
        </w:tc>
        <w:tc>
          <w:tcPr>
            <w:tcW w:w="1007" w:type="dxa"/>
            <w:tcBorders>
              <w:bottom w:val="single" w:sz="4" w:space="0" w:color="auto"/>
            </w:tcBorders>
            <w:vAlign w:val="bottom"/>
          </w:tcPr>
          <w:p w:rsidR="00F40135" w:rsidRPr="004D0022" w:rsidRDefault="00F40135" w:rsidP="00F40135">
            <w:pPr>
              <w:jc w:val="center"/>
              <w:rPr>
                <w:rFonts w:ascii="Calibri" w:hAnsi="Calibri" w:cs="Calibri"/>
                <w:color w:val="000000"/>
              </w:rPr>
            </w:pPr>
            <w:r w:rsidRPr="004D0022">
              <w:rPr>
                <w:rFonts w:ascii="Calibri" w:hAnsi="Calibri" w:cs="Calibri"/>
                <w:color w:val="000000"/>
              </w:rPr>
              <w:t> </w:t>
            </w:r>
          </w:p>
        </w:tc>
      </w:tr>
    </w:tbl>
    <w:p w:rsidR="007A780E" w:rsidRPr="004D0022" w:rsidRDefault="007A780E" w:rsidP="00ED7278">
      <w:pPr>
        <w:pStyle w:val="Body"/>
        <w:rPr>
          <w:lang w:val="sv-SE"/>
        </w:rPr>
      </w:pPr>
    </w:p>
    <w:p w:rsidR="00C31412" w:rsidRPr="004D0022" w:rsidRDefault="00C31412" w:rsidP="00ED7278">
      <w:pPr>
        <w:pStyle w:val="Body"/>
        <w:rPr>
          <w:lang w:val="sv-SE"/>
        </w:rPr>
      </w:pPr>
      <w:r w:rsidRPr="004D0022">
        <w:rPr>
          <w:lang w:val="sv-SE"/>
        </w:rPr>
        <w:t xml:space="preserve">På frågan om vad är det viktigaste skälet till att spara energi så anger </w:t>
      </w:r>
      <w:r w:rsidR="00E36CD8" w:rsidRPr="004D0022">
        <w:rPr>
          <w:lang w:val="sv-SE"/>
        </w:rPr>
        <w:t xml:space="preserve">5 hushåll (31 %) </w:t>
      </w:r>
      <w:r w:rsidRPr="004D0022">
        <w:rPr>
          <w:lang w:val="sv-SE"/>
        </w:rPr>
        <w:t xml:space="preserve">att miljö är </w:t>
      </w:r>
      <w:r w:rsidR="00E36CD8" w:rsidRPr="004D0022">
        <w:rPr>
          <w:lang w:val="sv-SE"/>
        </w:rPr>
        <w:t xml:space="preserve">det viktigaste alternativet att spara energi </w:t>
      </w:r>
      <w:r w:rsidR="00D11023">
        <w:rPr>
          <w:lang w:val="sv-SE"/>
        </w:rPr>
        <w:t>(se figur 4</w:t>
      </w:r>
      <w:r w:rsidRPr="004D0022">
        <w:rPr>
          <w:lang w:val="sv-SE"/>
        </w:rPr>
        <w:t xml:space="preserve">). </w:t>
      </w:r>
      <w:r w:rsidR="00E36CD8" w:rsidRPr="004D0022">
        <w:rPr>
          <w:lang w:val="sv-SE"/>
        </w:rPr>
        <w:t>En majoritet av hushåll, 7 stycken (44 %), placerar sig neutralt, d.v.s. att miljö och pengar är lika viktiga anledningar för att spara energi.</w:t>
      </w:r>
    </w:p>
    <w:p w:rsidR="00F40135" w:rsidRPr="004D0022" w:rsidRDefault="00E36CD8" w:rsidP="00ED7278">
      <w:pPr>
        <w:pStyle w:val="Body"/>
        <w:rPr>
          <w:lang w:val="sv-SE"/>
        </w:rPr>
      </w:pPr>
      <w:r w:rsidRPr="004D0022">
        <w:rPr>
          <w:noProof/>
          <w:lang w:val="sv-SE" w:eastAsia="en-GB"/>
        </w:rPr>
        <w:drawing>
          <wp:inline distT="0" distB="0" distL="0" distR="0" wp14:anchorId="4B2FE08C">
            <wp:extent cx="4572000" cy="2750820"/>
            <wp:effectExtent l="0" t="0" r="0" b="0"/>
            <wp:docPr id="2067" name="Pictur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750820"/>
                    </a:xfrm>
                    <a:prstGeom prst="rect">
                      <a:avLst/>
                    </a:prstGeom>
                    <a:noFill/>
                  </pic:spPr>
                </pic:pic>
              </a:graphicData>
            </a:graphic>
          </wp:inline>
        </w:drawing>
      </w:r>
    </w:p>
    <w:p w:rsidR="00C31412" w:rsidRPr="004D0022" w:rsidRDefault="00C31412" w:rsidP="00C31412">
      <w:pPr>
        <w:pStyle w:val="Figure"/>
        <w:rPr>
          <w:lang w:val="sv-SE"/>
        </w:rPr>
      </w:pPr>
      <w:r w:rsidRPr="004D0022">
        <w:rPr>
          <w:lang w:val="sv-SE"/>
        </w:rPr>
        <w:t>Antal hushåll som på en 7-gradig skala angett om miljö alternativt pengar är den viktigaste drivkraften för att spara energi.</w:t>
      </w:r>
    </w:p>
    <w:p w:rsidR="00553999" w:rsidRPr="004D0022" w:rsidRDefault="00553999" w:rsidP="00F81571">
      <w:pPr>
        <w:rPr>
          <w:rFonts w:ascii="Times New Roman" w:hAnsi="Times New Roman" w:cs="Times New Roman"/>
          <w:sz w:val="24"/>
          <w:szCs w:val="24"/>
        </w:rPr>
      </w:pPr>
      <w:r w:rsidRPr="004D0022">
        <w:rPr>
          <w:rFonts w:ascii="Times New Roman" w:hAnsi="Times New Roman" w:cs="Times New Roman"/>
          <w:sz w:val="24"/>
          <w:szCs w:val="24"/>
        </w:rPr>
        <w:t xml:space="preserve">Av de hushåll som angett att de tidigare haft ett verktyg (12 stycken) så svarar endast 2 stycken hushåll på frågorna kring om energidisplayen har hjälpt dem att spara el, om förståelsen för vart energin använt ökat samt om displayen haft en positiv inverkan på motivationen att spara el. Erfarenheterna varierar, där ett hushåll anser att energidisplayen </w:t>
      </w:r>
      <w:r w:rsidRPr="004D0022">
        <w:rPr>
          <w:rFonts w:ascii="Times New Roman" w:hAnsi="Times New Roman" w:cs="Times New Roman"/>
          <w:sz w:val="24"/>
          <w:szCs w:val="24"/>
        </w:rPr>
        <w:lastRenderedPageBreak/>
        <w:t xml:space="preserve">haft en positiv inverkan på motivation och kunskap, medan det andra hushållet anger det rakt motsatta. </w:t>
      </w:r>
    </w:p>
    <w:p w:rsidR="005E0470" w:rsidRPr="004D0022" w:rsidRDefault="005E0470" w:rsidP="00553999">
      <w:pPr>
        <w:pStyle w:val="Heading2"/>
        <w:rPr>
          <w:lang w:val="sv-SE"/>
        </w:rPr>
      </w:pPr>
      <w:bookmarkStart w:id="9" w:name="_Toc390222495"/>
      <w:r w:rsidRPr="004D0022">
        <w:rPr>
          <w:lang w:val="sv-SE"/>
        </w:rPr>
        <w:t>Enkät 2013</w:t>
      </w:r>
      <w:bookmarkEnd w:id="9"/>
    </w:p>
    <w:p w:rsidR="00553999" w:rsidRPr="004D0022" w:rsidRDefault="00553999" w:rsidP="00553999">
      <w:pPr>
        <w:rPr>
          <w:rFonts w:ascii="Times New Roman" w:hAnsi="Times New Roman" w:cs="Times New Roman"/>
          <w:sz w:val="24"/>
          <w:szCs w:val="24"/>
        </w:rPr>
      </w:pPr>
      <w:r w:rsidRPr="004D0022">
        <w:rPr>
          <w:rFonts w:ascii="Times New Roman" w:hAnsi="Times New Roman" w:cs="Times New Roman"/>
          <w:sz w:val="24"/>
          <w:szCs w:val="24"/>
        </w:rPr>
        <w:t>Av de 68 enkäter som skickades ut 2013 så svarade 26 hushåll (38 %). Av dessa 26 hushåll uppger hälften att de har hemmavarand</w:t>
      </w:r>
      <w:r w:rsidR="00D11023">
        <w:rPr>
          <w:rFonts w:ascii="Times New Roman" w:hAnsi="Times New Roman" w:cs="Times New Roman"/>
          <w:sz w:val="24"/>
          <w:szCs w:val="24"/>
        </w:rPr>
        <w:t>e barn eller ungdomar. I figur 5</w:t>
      </w:r>
      <w:r w:rsidRPr="004D0022">
        <w:rPr>
          <w:rFonts w:ascii="Times New Roman" w:hAnsi="Times New Roman" w:cs="Times New Roman"/>
          <w:sz w:val="24"/>
          <w:szCs w:val="24"/>
        </w:rPr>
        <w:t xml:space="preserve"> ses fördelningen mellan antal hushåll och antal familjemedlemmar.</w:t>
      </w:r>
    </w:p>
    <w:p w:rsidR="00553999" w:rsidRPr="004D0022" w:rsidRDefault="00553999" w:rsidP="00553999">
      <w:pPr>
        <w:rPr>
          <w:rFonts w:ascii="Times New Roman" w:hAnsi="Times New Roman" w:cs="Times New Roman"/>
          <w:sz w:val="24"/>
          <w:szCs w:val="24"/>
        </w:rPr>
      </w:pPr>
      <w:r w:rsidRPr="004D0022">
        <w:rPr>
          <w:rFonts w:ascii="Times New Roman" w:hAnsi="Times New Roman" w:cs="Times New Roman"/>
          <w:sz w:val="24"/>
          <w:szCs w:val="24"/>
        </w:rPr>
        <w:t xml:space="preserve"> </w:t>
      </w:r>
      <w:r w:rsidRPr="004D0022">
        <w:rPr>
          <w:rFonts w:ascii="Times New Roman" w:hAnsi="Times New Roman" w:cs="Times New Roman"/>
          <w:noProof/>
          <w:sz w:val="24"/>
          <w:szCs w:val="24"/>
          <w:lang w:eastAsia="en-GB"/>
        </w:rPr>
        <w:drawing>
          <wp:inline distT="0" distB="0" distL="0" distR="0" wp14:anchorId="6237FD55">
            <wp:extent cx="4762500" cy="2735580"/>
            <wp:effectExtent l="0" t="0" r="0" b="762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2735580"/>
                    </a:xfrm>
                    <a:prstGeom prst="rect">
                      <a:avLst/>
                    </a:prstGeom>
                    <a:noFill/>
                  </pic:spPr>
                </pic:pic>
              </a:graphicData>
            </a:graphic>
          </wp:inline>
        </w:drawing>
      </w:r>
    </w:p>
    <w:p w:rsidR="00553999" w:rsidRPr="004D0022" w:rsidRDefault="00553999" w:rsidP="00553999">
      <w:pPr>
        <w:pStyle w:val="Figure"/>
        <w:rPr>
          <w:lang w:val="sv-SE"/>
        </w:rPr>
      </w:pPr>
      <w:r w:rsidRPr="004D0022">
        <w:rPr>
          <w:lang w:val="sv-SE"/>
        </w:rPr>
        <w:t>Fördelning av antal familjemedlemmar i respektive hushåll.</w:t>
      </w:r>
    </w:p>
    <w:p w:rsidR="00553999" w:rsidRPr="004D0022" w:rsidRDefault="00553999" w:rsidP="00553999">
      <w:pPr>
        <w:pStyle w:val="Body"/>
        <w:rPr>
          <w:lang w:val="sv-SE"/>
        </w:rPr>
      </w:pPr>
      <w:r w:rsidRPr="004D0022">
        <w:rPr>
          <w:lang w:val="sv-SE"/>
        </w:rPr>
        <w:t xml:space="preserve">Den totala inkomsten hos de hushåll som svarat på 2013-års enkät varierar mellan nästan 19 000 till nästan </w:t>
      </w:r>
      <w:r w:rsidR="00D23FC0" w:rsidRPr="004D0022">
        <w:rPr>
          <w:lang w:val="sv-SE"/>
        </w:rPr>
        <w:t>85</w:t>
      </w:r>
      <w:r w:rsidRPr="004D0022">
        <w:rPr>
          <w:lang w:val="sv-SE"/>
        </w:rPr>
        <w:t xml:space="preserve"> 000 kr per hushåll. </w:t>
      </w:r>
      <w:r w:rsidR="00D11023">
        <w:rPr>
          <w:lang w:val="sv-SE"/>
        </w:rPr>
        <w:t>I figur 6</w:t>
      </w:r>
      <w:r w:rsidRPr="004D0022">
        <w:rPr>
          <w:lang w:val="sv-SE"/>
        </w:rPr>
        <w:t xml:space="preserve"> visas den genomsnittliga inkomsten per person hos de </w:t>
      </w:r>
      <w:r w:rsidR="00D23FC0" w:rsidRPr="004D0022">
        <w:rPr>
          <w:lang w:val="sv-SE"/>
        </w:rPr>
        <w:t>26</w:t>
      </w:r>
      <w:r w:rsidRPr="004D0022">
        <w:rPr>
          <w:lang w:val="sv-SE"/>
        </w:rPr>
        <w:t xml:space="preserve"> hushåll</w:t>
      </w:r>
      <w:r w:rsidR="00D23FC0" w:rsidRPr="004D0022">
        <w:rPr>
          <w:lang w:val="sv-SE"/>
        </w:rPr>
        <w:t>en</w:t>
      </w:r>
      <w:r w:rsidRPr="004D0022">
        <w:rPr>
          <w:lang w:val="sv-SE"/>
        </w:rPr>
        <w:t xml:space="preserve"> som svarat på enkäten.</w:t>
      </w:r>
    </w:p>
    <w:p w:rsidR="00553999" w:rsidRPr="004D0022" w:rsidRDefault="00D23FC0" w:rsidP="00553999">
      <w:pPr>
        <w:pStyle w:val="Body"/>
        <w:rPr>
          <w:lang w:val="sv-SE"/>
        </w:rPr>
      </w:pPr>
      <w:r w:rsidRPr="004D0022">
        <w:rPr>
          <w:noProof/>
          <w:lang w:val="sv-SE" w:eastAsia="en-GB"/>
        </w:rPr>
        <w:drawing>
          <wp:inline distT="0" distB="0" distL="0" distR="0" wp14:anchorId="49716B7D">
            <wp:extent cx="4815840" cy="2750820"/>
            <wp:effectExtent l="0" t="0" r="3810" b="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5840" cy="2750820"/>
                    </a:xfrm>
                    <a:prstGeom prst="rect">
                      <a:avLst/>
                    </a:prstGeom>
                    <a:noFill/>
                  </pic:spPr>
                </pic:pic>
              </a:graphicData>
            </a:graphic>
          </wp:inline>
        </w:drawing>
      </w:r>
    </w:p>
    <w:p w:rsidR="00553999" w:rsidRPr="004D0022" w:rsidRDefault="00553999" w:rsidP="00553999">
      <w:pPr>
        <w:pStyle w:val="Figure"/>
        <w:rPr>
          <w:lang w:val="sv-SE"/>
        </w:rPr>
      </w:pPr>
      <w:r w:rsidRPr="004D0022">
        <w:rPr>
          <w:lang w:val="sv-SE"/>
        </w:rPr>
        <w:t xml:space="preserve">Inkomstintervall per person för hushållen. </w:t>
      </w:r>
    </w:p>
    <w:p w:rsidR="00553999" w:rsidRPr="004D0022" w:rsidRDefault="00553999" w:rsidP="00553999">
      <w:pPr>
        <w:pStyle w:val="Body"/>
        <w:rPr>
          <w:lang w:val="sv-SE"/>
        </w:rPr>
      </w:pPr>
      <w:r w:rsidRPr="004D0022">
        <w:rPr>
          <w:lang w:val="sv-SE"/>
        </w:rPr>
        <w:lastRenderedPageBreak/>
        <w:t>Av de respondenter som svarat för respektive hushåll så är en majoritet i åldersintervallet 45-54 år (</w:t>
      </w:r>
      <w:r w:rsidR="00D23FC0" w:rsidRPr="004D0022">
        <w:rPr>
          <w:lang w:val="sv-SE"/>
        </w:rPr>
        <w:t>42</w:t>
      </w:r>
      <w:r w:rsidRPr="004D0022">
        <w:rPr>
          <w:lang w:val="sv-SE"/>
        </w:rPr>
        <w:t xml:space="preserve"> %). Den näst största kategorin respondenter återfinns i åldersintervallet </w:t>
      </w:r>
      <w:r w:rsidR="00D23FC0" w:rsidRPr="004D0022">
        <w:rPr>
          <w:lang w:val="sv-SE"/>
        </w:rPr>
        <w:t>35</w:t>
      </w:r>
      <w:r w:rsidRPr="004D0022">
        <w:rPr>
          <w:lang w:val="sv-SE"/>
        </w:rPr>
        <w:t>-</w:t>
      </w:r>
      <w:r w:rsidR="00D23FC0" w:rsidRPr="004D0022">
        <w:rPr>
          <w:lang w:val="sv-SE"/>
        </w:rPr>
        <w:t>44</w:t>
      </w:r>
      <w:r w:rsidRPr="004D0022">
        <w:rPr>
          <w:lang w:val="sv-SE"/>
        </w:rPr>
        <w:t xml:space="preserve"> år (</w:t>
      </w:r>
      <w:r w:rsidR="00D23FC0" w:rsidRPr="004D0022">
        <w:rPr>
          <w:lang w:val="sv-SE"/>
        </w:rPr>
        <w:t>19</w:t>
      </w:r>
      <w:r w:rsidRPr="004D0022">
        <w:rPr>
          <w:lang w:val="sv-SE"/>
        </w:rPr>
        <w:t xml:space="preserve"> %). Den totala </w:t>
      </w:r>
      <w:r w:rsidR="00D11023">
        <w:rPr>
          <w:lang w:val="sv-SE"/>
        </w:rPr>
        <w:t>fördelningen återfinns i figur 7</w:t>
      </w:r>
      <w:r w:rsidRPr="004D0022">
        <w:rPr>
          <w:lang w:val="sv-SE"/>
        </w:rPr>
        <w:t xml:space="preserve">. </w:t>
      </w:r>
    </w:p>
    <w:p w:rsidR="00553999" w:rsidRPr="004D0022" w:rsidRDefault="00D23FC0" w:rsidP="00553999">
      <w:pPr>
        <w:pStyle w:val="Body"/>
        <w:rPr>
          <w:lang w:val="sv-SE"/>
        </w:rPr>
      </w:pPr>
      <w:r w:rsidRPr="004D0022">
        <w:rPr>
          <w:noProof/>
          <w:lang w:val="sv-SE" w:eastAsia="en-GB"/>
        </w:rPr>
        <w:drawing>
          <wp:inline distT="0" distB="0" distL="0" distR="0" wp14:anchorId="20F8E946">
            <wp:extent cx="4579620" cy="2750820"/>
            <wp:effectExtent l="0" t="0" r="0" b="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rsidR="00553999" w:rsidRPr="004D0022" w:rsidRDefault="00553999" w:rsidP="00553999">
      <w:pPr>
        <w:pStyle w:val="Figure"/>
        <w:rPr>
          <w:lang w:val="sv-SE"/>
        </w:rPr>
      </w:pPr>
      <w:r w:rsidRPr="004D0022">
        <w:rPr>
          <w:lang w:val="sv-SE"/>
        </w:rPr>
        <w:t>Fördelning av antal respondenter (hushåll) i olika åldersintervall.</w:t>
      </w:r>
    </w:p>
    <w:p w:rsidR="00553999" w:rsidRPr="004D0022" w:rsidRDefault="00553999" w:rsidP="00553999">
      <w:pPr>
        <w:pStyle w:val="Body"/>
        <w:rPr>
          <w:lang w:val="sv-SE"/>
        </w:rPr>
      </w:pPr>
      <w:r w:rsidRPr="004D0022">
        <w:rPr>
          <w:lang w:val="sv-SE"/>
        </w:rPr>
        <w:t xml:space="preserve">På frågan om hushållen är intresserade av att ta del av sin egen förbrukning via Internet så anger </w:t>
      </w:r>
      <w:r w:rsidR="00D23FC0" w:rsidRPr="004D0022">
        <w:rPr>
          <w:lang w:val="sv-SE"/>
        </w:rPr>
        <w:t>18</w:t>
      </w:r>
      <w:r w:rsidRPr="004D0022">
        <w:rPr>
          <w:lang w:val="sv-SE"/>
        </w:rPr>
        <w:t xml:space="preserve"> stycken av hushållen (</w:t>
      </w:r>
      <w:r w:rsidR="00D23FC0" w:rsidRPr="004D0022">
        <w:rPr>
          <w:lang w:val="sv-SE"/>
        </w:rPr>
        <w:t>69</w:t>
      </w:r>
      <w:r w:rsidRPr="004D0022">
        <w:rPr>
          <w:lang w:val="sv-SE"/>
        </w:rPr>
        <w:t xml:space="preserve"> %) att de tycker att detta vore intressant, </w:t>
      </w:r>
      <w:r w:rsidR="00D23FC0" w:rsidRPr="004D0022">
        <w:rPr>
          <w:lang w:val="sv-SE"/>
        </w:rPr>
        <w:t>6</w:t>
      </w:r>
      <w:r w:rsidRPr="004D0022">
        <w:rPr>
          <w:lang w:val="sv-SE"/>
        </w:rPr>
        <w:t xml:space="preserve"> hushåll anger att de </w:t>
      </w:r>
      <w:proofErr w:type="gramStart"/>
      <w:r w:rsidRPr="004D0022">
        <w:rPr>
          <w:lang w:val="sv-SE"/>
        </w:rPr>
        <w:t>ej</w:t>
      </w:r>
      <w:proofErr w:type="gramEnd"/>
      <w:r w:rsidRPr="004D0022">
        <w:rPr>
          <w:lang w:val="sv-SE"/>
        </w:rPr>
        <w:t xml:space="preserve"> är intresserade (</w:t>
      </w:r>
      <w:r w:rsidR="00D23FC0" w:rsidRPr="004D0022">
        <w:rPr>
          <w:lang w:val="sv-SE"/>
        </w:rPr>
        <w:t>23</w:t>
      </w:r>
      <w:r w:rsidRPr="004D0022">
        <w:rPr>
          <w:lang w:val="sv-SE"/>
        </w:rPr>
        <w:t xml:space="preserve"> %). </w:t>
      </w:r>
      <w:r w:rsidR="00D23FC0" w:rsidRPr="004D0022">
        <w:rPr>
          <w:lang w:val="sv-SE"/>
        </w:rPr>
        <w:t>Betydligt</w:t>
      </w:r>
      <w:r w:rsidRPr="004D0022">
        <w:rPr>
          <w:lang w:val="sv-SE"/>
        </w:rPr>
        <w:t xml:space="preserve"> färre (</w:t>
      </w:r>
      <w:r w:rsidR="00D23FC0" w:rsidRPr="004D0022">
        <w:rPr>
          <w:lang w:val="sv-SE"/>
        </w:rPr>
        <w:t>38</w:t>
      </w:r>
      <w:r w:rsidRPr="004D0022">
        <w:rPr>
          <w:lang w:val="sv-SE"/>
        </w:rPr>
        <w:t xml:space="preserve"> %) anger att de är intresserade av energiråd</w:t>
      </w:r>
      <w:r w:rsidR="00D23FC0" w:rsidRPr="004D0022">
        <w:rPr>
          <w:lang w:val="sv-SE"/>
        </w:rPr>
        <w:t xml:space="preserve">givning via Internet, medan </w:t>
      </w:r>
      <w:r w:rsidRPr="004D0022">
        <w:rPr>
          <w:lang w:val="sv-SE"/>
        </w:rPr>
        <w:t xml:space="preserve">energispartips </w:t>
      </w:r>
      <w:r w:rsidR="00D23FC0" w:rsidRPr="004D0022">
        <w:rPr>
          <w:lang w:val="sv-SE"/>
        </w:rPr>
        <w:t>(65 %) verkar vara mer accepterat</w:t>
      </w:r>
      <w:r w:rsidRPr="004D0022">
        <w:rPr>
          <w:lang w:val="sv-SE"/>
        </w:rPr>
        <w:t xml:space="preserve">. Däremot anger </w:t>
      </w:r>
      <w:r w:rsidR="00D23FC0" w:rsidRPr="004D0022">
        <w:rPr>
          <w:lang w:val="sv-SE"/>
        </w:rPr>
        <w:t>20</w:t>
      </w:r>
      <w:r w:rsidRPr="004D0022">
        <w:rPr>
          <w:lang w:val="sv-SE"/>
        </w:rPr>
        <w:t xml:space="preserve"> stycken (7</w:t>
      </w:r>
      <w:r w:rsidR="00D23FC0" w:rsidRPr="004D0022">
        <w:rPr>
          <w:lang w:val="sv-SE"/>
        </w:rPr>
        <w:t>4</w:t>
      </w:r>
      <w:r w:rsidRPr="004D0022">
        <w:rPr>
          <w:lang w:val="sv-SE"/>
        </w:rPr>
        <w:t xml:space="preserve"> %) att de har tidigare erfarenhet av att använda verktyg för att följa sin energiförbrukning.</w:t>
      </w:r>
    </w:p>
    <w:p w:rsidR="006A2829" w:rsidRPr="004D0022" w:rsidRDefault="006A2829" w:rsidP="00553999">
      <w:pPr>
        <w:pStyle w:val="Body"/>
        <w:rPr>
          <w:lang w:val="sv-SE"/>
        </w:rPr>
      </w:pPr>
      <w:r w:rsidRPr="004D0022">
        <w:rPr>
          <w:lang w:val="sv-SE"/>
        </w:rPr>
        <w:t>Även här är e</w:t>
      </w:r>
      <w:r w:rsidRPr="004D0022">
        <w:rPr>
          <w:lang w:val="sv-SE"/>
        </w:rPr>
        <w:t>n majoritet av hushållen är mycket intresserade av energifrågor (</w:t>
      </w:r>
      <w:r w:rsidR="006A0C76" w:rsidRPr="004D0022">
        <w:rPr>
          <w:lang w:val="sv-SE"/>
        </w:rPr>
        <w:t>69</w:t>
      </w:r>
      <w:r w:rsidRPr="004D0022">
        <w:rPr>
          <w:lang w:val="sv-SE"/>
        </w:rPr>
        <w:t xml:space="preserve"> %), stävar efter att minska hushållets energiförbrukning (</w:t>
      </w:r>
      <w:r w:rsidR="006A0C76" w:rsidRPr="004D0022">
        <w:rPr>
          <w:lang w:val="sv-SE"/>
        </w:rPr>
        <w:t>61</w:t>
      </w:r>
      <w:r w:rsidRPr="004D0022">
        <w:rPr>
          <w:lang w:val="sv-SE"/>
        </w:rPr>
        <w:t xml:space="preserve"> %) samt anser sig också ha god kännedom om hur energiförbrukningen kan sänkas (</w:t>
      </w:r>
      <w:r w:rsidR="006A0C76" w:rsidRPr="004D0022">
        <w:rPr>
          <w:lang w:val="sv-SE"/>
        </w:rPr>
        <w:t>68</w:t>
      </w:r>
      <w:r w:rsidRPr="004D0022">
        <w:rPr>
          <w:lang w:val="sv-SE"/>
        </w:rPr>
        <w:t xml:space="preserve"> %). </w:t>
      </w:r>
      <w:r w:rsidR="006A0C76" w:rsidRPr="004D0022">
        <w:rPr>
          <w:lang w:val="sv-SE"/>
        </w:rPr>
        <w:t xml:space="preserve">Intresset för att lära sig </w:t>
      </w:r>
      <w:r w:rsidRPr="004D0022">
        <w:rPr>
          <w:lang w:val="sv-SE"/>
        </w:rPr>
        <w:t>mer om hur energiförbrukningen kan minskas</w:t>
      </w:r>
      <w:r w:rsidR="006A0C76" w:rsidRPr="004D0022">
        <w:rPr>
          <w:lang w:val="sv-SE"/>
        </w:rPr>
        <w:t xml:space="preserve"> är mindre</w:t>
      </w:r>
      <w:r w:rsidRPr="004D0022">
        <w:rPr>
          <w:lang w:val="sv-SE"/>
        </w:rPr>
        <w:t>.</w:t>
      </w:r>
      <w:r w:rsidR="006A0C76" w:rsidRPr="004D0022">
        <w:rPr>
          <w:lang w:val="sv-SE"/>
        </w:rPr>
        <w:t xml:space="preserve"> En hög andel av hushållen använder lågenergilampor i större delen av huset, och även andra beteende orienterade frågor indikerar ett goda energivanor, ur ett energisparperspektiv.</w:t>
      </w:r>
    </w:p>
    <w:p w:rsidR="00553999" w:rsidRPr="004D0022" w:rsidRDefault="00553999" w:rsidP="00553999">
      <w:pPr>
        <w:pStyle w:val="Body"/>
        <w:rPr>
          <w:lang w:val="sv-SE"/>
        </w:rPr>
      </w:pPr>
      <w:r w:rsidRPr="004D0022">
        <w:rPr>
          <w:lang w:val="sv-SE"/>
        </w:rPr>
        <w:t xml:space="preserve">När det gäller olika alternativ som hushållen anser som intressanta när det gäller att få energiinformation förmedlad framstår displayer som de mest populära. Som det visats i figuren ovan så framgår det att antalet respondenter i vissa åldersintervall </w:t>
      </w:r>
      <w:r w:rsidR="00D11023">
        <w:rPr>
          <w:lang w:val="sv-SE"/>
        </w:rPr>
        <w:t>är väldigt begränsat. I Tabell 2</w:t>
      </w:r>
      <w:r w:rsidRPr="004D0022">
        <w:rPr>
          <w:lang w:val="sv-SE"/>
        </w:rPr>
        <w:t xml:space="preserve"> så ges en översikt hur olika respondenter i olika åldersintervall föredrar att få energiinformationen återkopplad. På en skala 1 – 7 har respondenterna angett vilka </w:t>
      </w:r>
      <w:proofErr w:type="spellStart"/>
      <w:r w:rsidRPr="004D0022">
        <w:rPr>
          <w:lang w:val="sv-SE"/>
        </w:rPr>
        <w:t>alterntiv</w:t>
      </w:r>
      <w:proofErr w:type="spellEnd"/>
      <w:r w:rsidRPr="004D0022">
        <w:rPr>
          <w:lang w:val="sv-SE"/>
        </w:rPr>
        <w:t xml:space="preserve"> </w:t>
      </w:r>
      <w:r w:rsidRPr="004D0022">
        <w:rPr>
          <w:lang w:val="sv-SE"/>
        </w:rPr>
        <w:lastRenderedPageBreak/>
        <w:t xml:space="preserve">som de föredrar för energiförbrukningsåterkoppling. </w:t>
      </w:r>
      <w:proofErr w:type="gramStart"/>
      <w:r w:rsidRPr="004D0022">
        <w:rPr>
          <w:lang w:val="sv-SE"/>
        </w:rPr>
        <w:t>Ett lågt värde (’1’) indikerar ett positivt ställningstagande för en teknik, medan ett högre värde (’7’</w:t>
      </w:r>
      <w:proofErr w:type="gramEnd"/>
      <w:r w:rsidRPr="004D0022">
        <w:rPr>
          <w:lang w:val="sv-SE"/>
        </w:rPr>
        <w:t xml:space="preserve">) indikerar att informationskanalen är ointressant. </w:t>
      </w:r>
      <w:r w:rsidR="0030093B" w:rsidRPr="004D0022">
        <w:rPr>
          <w:lang w:val="sv-SE"/>
        </w:rPr>
        <w:t xml:space="preserve">Display är mest populärt i ålderskategorierna 25-34 samt 35-44 år. I </w:t>
      </w:r>
      <w:proofErr w:type="gramStart"/>
      <w:r w:rsidR="0030093B" w:rsidRPr="004D0022">
        <w:rPr>
          <w:lang w:val="sv-SE"/>
        </w:rPr>
        <w:t>ålderkategorien</w:t>
      </w:r>
      <w:proofErr w:type="gramEnd"/>
      <w:r w:rsidR="0030093B" w:rsidRPr="004D0022">
        <w:rPr>
          <w:lang w:val="sv-SE"/>
        </w:rPr>
        <w:t xml:space="preserve"> 25-34 är även </w:t>
      </w:r>
      <w:proofErr w:type="spellStart"/>
      <w:r w:rsidR="0030093B" w:rsidRPr="004D0022">
        <w:rPr>
          <w:lang w:val="sv-SE"/>
        </w:rPr>
        <w:t>Appar</w:t>
      </w:r>
      <w:proofErr w:type="spellEnd"/>
      <w:r w:rsidR="0030093B" w:rsidRPr="004D0022">
        <w:rPr>
          <w:lang w:val="sv-SE"/>
        </w:rPr>
        <w:t xml:space="preserve"> ett intressant alternativ. E-post anges vara intressanta lösningar i ålderskategorierna 35-44 år samt 55-64 år. Äldre personer har även de angivit e-post som det alternativt man helst väljer, men är generellt mer återhållsamma i sin betygssättning.</w:t>
      </w:r>
    </w:p>
    <w:p w:rsidR="00553999" w:rsidRPr="004D0022" w:rsidRDefault="00D11023" w:rsidP="00553999">
      <w:pPr>
        <w:pStyle w:val="Table"/>
        <w:numPr>
          <w:ilvl w:val="0"/>
          <w:numId w:val="0"/>
        </w:numPr>
        <w:ind w:left="964" w:hanging="964"/>
        <w:rPr>
          <w:lang w:val="sv-SE"/>
        </w:rPr>
      </w:pPr>
      <w:r>
        <w:rPr>
          <w:lang w:val="sv-SE"/>
        </w:rPr>
        <w:t>Tabell 2</w:t>
      </w:r>
      <w:r w:rsidR="00553999" w:rsidRPr="004D0022">
        <w:rPr>
          <w:lang w:val="sv-SE"/>
        </w:rPr>
        <w:t>. Översikt av hur respondenter i olika ålderskategorier föredrar att få energiinformation.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1007"/>
        <w:gridCol w:w="1007"/>
        <w:gridCol w:w="1007"/>
        <w:gridCol w:w="1007"/>
        <w:gridCol w:w="1007"/>
        <w:gridCol w:w="1007"/>
        <w:gridCol w:w="1007"/>
        <w:gridCol w:w="1007"/>
      </w:tblGrid>
      <w:tr w:rsidR="00553999" w:rsidRPr="004D0022" w:rsidTr="00716A77">
        <w:trPr>
          <w:trHeight w:val="454"/>
        </w:trPr>
        <w:tc>
          <w:tcPr>
            <w:tcW w:w="1006" w:type="dxa"/>
            <w:tcBorders>
              <w:top w:val="single" w:sz="4" w:space="0" w:color="auto"/>
              <w:bottom w:val="single" w:sz="4" w:space="0" w:color="auto"/>
            </w:tcBorders>
            <w:vAlign w:val="bottom"/>
          </w:tcPr>
          <w:p w:rsidR="00553999" w:rsidRPr="004D0022" w:rsidRDefault="00553999" w:rsidP="00716A77">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bottom w:val="single" w:sz="4" w:space="0" w:color="auto"/>
            </w:tcBorders>
            <w:vAlign w:val="bottom"/>
          </w:tcPr>
          <w:p w:rsidR="00553999" w:rsidRPr="004D0022" w:rsidRDefault="00553999" w:rsidP="00716A77">
            <w:pPr>
              <w:jc w:val="center"/>
              <w:rPr>
                <w:rFonts w:ascii="Calibri" w:hAnsi="Calibri" w:cs="Calibri"/>
                <w:b/>
                <w:bCs/>
                <w:color w:val="000000"/>
              </w:rPr>
            </w:pPr>
            <w:r w:rsidRPr="004D0022">
              <w:rPr>
                <w:rFonts w:ascii="Calibri" w:hAnsi="Calibri" w:cs="Calibri"/>
                <w:b/>
                <w:bCs/>
                <w:color w:val="000000"/>
              </w:rPr>
              <w:t>Brev</w:t>
            </w:r>
          </w:p>
        </w:tc>
        <w:tc>
          <w:tcPr>
            <w:tcW w:w="1007" w:type="dxa"/>
            <w:tcBorders>
              <w:top w:val="single" w:sz="4" w:space="0" w:color="auto"/>
              <w:bottom w:val="single" w:sz="4" w:space="0" w:color="auto"/>
            </w:tcBorders>
            <w:vAlign w:val="bottom"/>
          </w:tcPr>
          <w:p w:rsidR="00553999" w:rsidRPr="004D0022" w:rsidRDefault="00553999" w:rsidP="00716A77">
            <w:pPr>
              <w:jc w:val="center"/>
              <w:rPr>
                <w:rFonts w:ascii="Calibri" w:hAnsi="Calibri" w:cs="Calibri"/>
                <w:b/>
                <w:bCs/>
                <w:color w:val="000000"/>
              </w:rPr>
            </w:pPr>
            <w:r w:rsidRPr="004D0022">
              <w:rPr>
                <w:rFonts w:ascii="Calibri" w:hAnsi="Calibri" w:cs="Calibri"/>
                <w:b/>
                <w:bCs/>
                <w:color w:val="000000"/>
              </w:rPr>
              <w:t>Mina sidor</w:t>
            </w:r>
          </w:p>
        </w:tc>
        <w:tc>
          <w:tcPr>
            <w:tcW w:w="1007" w:type="dxa"/>
            <w:tcBorders>
              <w:top w:val="single" w:sz="4" w:space="0" w:color="auto"/>
              <w:bottom w:val="single" w:sz="4" w:space="0" w:color="auto"/>
            </w:tcBorders>
            <w:vAlign w:val="bottom"/>
          </w:tcPr>
          <w:p w:rsidR="00553999" w:rsidRPr="004D0022" w:rsidRDefault="00553999" w:rsidP="00716A77">
            <w:pPr>
              <w:jc w:val="center"/>
              <w:rPr>
                <w:rFonts w:ascii="Calibri" w:hAnsi="Calibri" w:cs="Calibri"/>
                <w:b/>
                <w:bCs/>
                <w:color w:val="000000"/>
              </w:rPr>
            </w:pPr>
            <w:r w:rsidRPr="004D0022">
              <w:rPr>
                <w:rFonts w:ascii="Calibri" w:hAnsi="Calibri" w:cs="Calibri"/>
                <w:b/>
                <w:bCs/>
                <w:color w:val="000000"/>
              </w:rPr>
              <w:t>E-post</w:t>
            </w:r>
          </w:p>
        </w:tc>
        <w:tc>
          <w:tcPr>
            <w:tcW w:w="1007" w:type="dxa"/>
            <w:tcBorders>
              <w:top w:val="single" w:sz="4" w:space="0" w:color="auto"/>
              <w:bottom w:val="single" w:sz="4" w:space="0" w:color="auto"/>
            </w:tcBorders>
            <w:vAlign w:val="bottom"/>
          </w:tcPr>
          <w:p w:rsidR="00553999" w:rsidRPr="004D0022" w:rsidRDefault="00553999" w:rsidP="00716A77">
            <w:pPr>
              <w:jc w:val="center"/>
              <w:rPr>
                <w:rFonts w:ascii="Calibri" w:hAnsi="Calibri" w:cs="Calibri"/>
                <w:b/>
                <w:bCs/>
                <w:color w:val="000000"/>
              </w:rPr>
            </w:pPr>
            <w:r w:rsidRPr="004D0022">
              <w:rPr>
                <w:rFonts w:ascii="Calibri" w:hAnsi="Calibri" w:cs="Calibri"/>
                <w:b/>
                <w:bCs/>
                <w:color w:val="000000"/>
              </w:rPr>
              <w:t>SMS</w:t>
            </w:r>
          </w:p>
        </w:tc>
        <w:tc>
          <w:tcPr>
            <w:tcW w:w="1007" w:type="dxa"/>
            <w:tcBorders>
              <w:top w:val="single" w:sz="4" w:space="0" w:color="auto"/>
              <w:bottom w:val="single" w:sz="4" w:space="0" w:color="auto"/>
            </w:tcBorders>
            <w:vAlign w:val="bottom"/>
          </w:tcPr>
          <w:p w:rsidR="00553999" w:rsidRPr="004D0022" w:rsidRDefault="00553999" w:rsidP="00716A77">
            <w:pPr>
              <w:jc w:val="center"/>
              <w:rPr>
                <w:rFonts w:ascii="Calibri" w:hAnsi="Calibri" w:cs="Calibri"/>
                <w:b/>
                <w:bCs/>
                <w:color w:val="000000"/>
              </w:rPr>
            </w:pPr>
            <w:r w:rsidRPr="004D0022">
              <w:rPr>
                <w:rFonts w:ascii="Calibri" w:hAnsi="Calibri" w:cs="Calibri"/>
                <w:b/>
                <w:bCs/>
                <w:color w:val="000000"/>
              </w:rPr>
              <w:t>MMS</w:t>
            </w:r>
          </w:p>
        </w:tc>
        <w:tc>
          <w:tcPr>
            <w:tcW w:w="1007" w:type="dxa"/>
            <w:tcBorders>
              <w:top w:val="single" w:sz="4" w:space="0" w:color="auto"/>
              <w:bottom w:val="single" w:sz="4" w:space="0" w:color="auto"/>
            </w:tcBorders>
            <w:vAlign w:val="bottom"/>
          </w:tcPr>
          <w:p w:rsidR="00553999" w:rsidRPr="004D0022" w:rsidRDefault="00553999" w:rsidP="00716A77">
            <w:pPr>
              <w:jc w:val="center"/>
              <w:rPr>
                <w:rFonts w:ascii="Calibri" w:hAnsi="Calibri" w:cs="Calibri"/>
                <w:b/>
                <w:bCs/>
                <w:color w:val="000000"/>
              </w:rPr>
            </w:pPr>
            <w:r w:rsidRPr="004D0022">
              <w:rPr>
                <w:rFonts w:ascii="Calibri" w:hAnsi="Calibri" w:cs="Calibri"/>
                <w:b/>
                <w:bCs/>
                <w:color w:val="000000"/>
              </w:rPr>
              <w:t>APP</w:t>
            </w:r>
          </w:p>
        </w:tc>
        <w:tc>
          <w:tcPr>
            <w:tcW w:w="1007" w:type="dxa"/>
            <w:tcBorders>
              <w:top w:val="single" w:sz="4" w:space="0" w:color="auto"/>
              <w:bottom w:val="single" w:sz="4" w:space="0" w:color="auto"/>
            </w:tcBorders>
            <w:vAlign w:val="bottom"/>
          </w:tcPr>
          <w:p w:rsidR="00553999" w:rsidRPr="004D0022" w:rsidRDefault="00553999" w:rsidP="00716A77">
            <w:pPr>
              <w:jc w:val="center"/>
              <w:rPr>
                <w:rFonts w:ascii="Calibri" w:hAnsi="Calibri" w:cs="Calibri"/>
                <w:b/>
                <w:bCs/>
                <w:color w:val="000000"/>
              </w:rPr>
            </w:pPr>
            <w:r w:rsidRPr="004D0022">
              <w:rPr>
                <w:rFonts w:ascii="Calibri" w:hAnsi="Calibri" w:cs="Calibri"/>
                <w:b/>
                <w:bCs/>
                <w:color w:val="000000"/>
              </w:rPr>
              <w:t>TV</w:t>
            </w:r>
          </w:p>
        </w:tc>
        <w:tc>
          <w:tcPr>
            <w:tcW w:w="1007" w:type="dxa"/>
            <w:tcBorders>
              <w:top w:val="single" w:sz="4" w:space="0" w:color="auto"/>
              <w:bottom w:val="single" w:sz="4" w:space="0" w:color="auto"/>
            </w:tcBorders>
            <w:vAlign w:val="bottom"/>
          </w:tcPr>
          <w:p w:rsidR="00553999" w:rsidRPr="004D0022" w:rsidRDefault="00553999" w:rsidP="00716A77">
            <w:pPr>
              <w:jc w:val="center"/>
              <w:rPr>
                <w:rFonts w:ascii="Calibri" w:hAnsi="Calibri" w:cs="Calibri"/>
                <w:b/>
                <w:bCs/>
                <w:color w:val="000000"/>
              </w:rPr>
            </w:pPr>
            <w:r w:rsidRPr="004D0022">
              <w:rPr>
                <w:rFonts w:ascii="Calibri" w:hAnsi="Calibri" w:cs="Calibri"/>
                <w:b/>
                <w:bCs/>
                <w:color w:val="000000"/>
              </w:rPr>
              <w:t>Display</w:t>
            </w:r>
          </w:p>
        </w:tc>
      </w:tr>
      <w:tr w:rsidR="0030093B" w:rsidRPr="004D0022" w:rsidTr="00716A77">
        <w:trPr>
          <w:trHeight w:val="454"/>
        </w:trPr>
        <w:tc>
          <w:tcPr>
            <w:tcW w:w="1006" w:type="dxa"/>
            <w:tcBorders>
              <w:top w:val="single" w:sz="4" w:space="0" w:color="auto"/>
            </w:tcBorders>
            <w:vAlign w:val="bottom"/>
          </w:tcPr>
          <w:p w:rsidR="0030093B" w:rsidRPr="004D0022" w:rsidRDefault="0030093B" w:rsidP="0030093B">
            <w:pPr>
              <w:jc w:val="center"/>
              <w:rPr>
                <w:rFonts w:ascii="Calibri" w:hAnsi="Calibri" w:cs="Calibri"/>
                <w:b/>
                <w:bCs/>
                <w:color w:val="000000"/>
              </w:rPr>
            </w:pPr>
            <w:r w:rsidRPr="004D0022">
              <w:rPr>
                <w:rFonts w:ascii="Calibri" w:hAnsi="Calibri" w:cs="Calibri"/>
                <w:b/>
                <w:bCs/>
                <w:color w:val="000000"/>
              </w:rPr>
              <w:t>18-24</w:t>
            </w:r>
          </w:p>
        </w:tc>
        <w:tc>
          <w:tcPr>
            <w:tcW w:w="1007" w:type="dxa"/>
            <w:tcBorders>
              <w:top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 </w:t>
            </w:r>
          </w:p>
        </w:tc>
        <w:tc>
          <w:tcPr>
            <w:tcW w:w="1007" w:type="dxa"/>
            <w:tcBorders>
              <w:top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 </w:t>
            </w:r>
          </w:p>
        </w:tc>
      </w:tr>
      <w:tr w:rsidR="0030093B" w:rsidRPr="004D0022" w:rsidTr="00716A77">
        <w:trPr>
          <w:trHeight w:val="454"/>
        </w:trPr>
        <w:tc>
          <w:tcPr>
            <w:tcW w:w="1006" w:type="dxa"/>
            <w:vAlign w:val="bottom"/>
          </w:tcPr>
          <w:p w:rsidR="0030093B" w:rsidRPr="004D0022" w:rsidRDefault="0030093B" w:rsidP="0030093B">
            <w:pPr>
              <w:jc w:val="center"/>
              <w:rPr>
                <w:rFonts w:ascii="Calibri" w:hAnsi="Calibri" w:cs="Calibri"/>
                <w:b/>
                <w:bCs/>
                <w:color w:val="000000"/>
              </w:rPr>
            </w:pPr>
            <w:r w:rsidRPr="004D0022">
              <w:rPr>
                <w:rFonts w:ascii="Calibri" w:hAnsi="Calibri" w:cs="Calibri"/>
                <w:b/>
                <w:bCs/>
                <w:color w:val="000000"/>
              </w:rPr>
              <w:t>25-34</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6,5</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4,5</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3,0</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3,5</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3,5</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1,5</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6,0</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1,5</w:t>
            </w:r>
          </w:p>
        </w:tc>
      </w:tr>
      <w:tr w:rsidR="0030093B" w:rsidRPr="004D0022" w:rsidTr="00716A77">
        <w:trPr>
          <w:trHeight w:val="454"/>
        </w:trPr>
        <w:tc>
          <w:tcPr>
            <w:tcW w:w="1006" w:type="dxa"/>
            <w:vAlign w:val="bottom"/>
          </w:tcPr>
          <w:p w:rsidR="0030093B" w:rsidRPr="004D0022" w:rsidRDefault="0030093B" w:rsidP="0030093B">
            <w:pPr>
              <w:jc w:val="center"/>
              <w:rPr>
                <w:rFonts w:ascii="Calibri" w:hAnsi="Calibri" w:cs="Calibri"/>
                <w:b/>
                <w:bCs/>
                <w:color w:val="000000"/>
              </w:rPr>
            </w:pPr>
            <w:r w:rsidRPr="004D0022">
              <w:rPr>
                <w:rFonts w:ascii="Calibri" w:hAnsi="Calibri" w:cs="Calibri"/>
                <w:b/>
                <w:bCs/>
                <w:color w:val="000000"/>
              </w:rPr>
              <w:t>35-44</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4,8</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2,8</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3,2</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6,2</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6,2</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3,8</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4,4</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2,4</w:t>
            </w:r>
          </w:p>
        </w:tc>
      </w:tr>
      <w:tr w:rsidR="0030093B" w:rsidRPr="004D0022" w:rsidTr="00716A77">
        <w:trPr>
          <w:trHeight w:val="454"/>
        </w:trPr>
        <w:tc>
          <w:tcPr>
            <w:tcW w:w="1006" w:type="dxa"/>
            <w:vAlign w:val="bottom"/>
          </w:tcPr>
          <w:p w:rsidR="0030093B" w:rsidRPr="004D0022" w:rsidRDefault="0030093B" w:rsidP="0030093B">
            <w:pPr>
              <w:jc w:val="center"/>
              <w:rPr>
                <w:rFonts w:ascii="Calibri" w:hAnsi="Calibri" w:cs="Calibri"/>
                <w:b/>
                <w:bCs/>
                <w:color w:val="000000"/>
              </w:rPr>
            </w:pPr>
            <w:r w:rsidRPr="004D0022">
              <w:rPr>
                <w:rFonts w:ascii="Calibri" w:hAnsi="Calibri" w:cs="Calibri"/>
                <w:b/>
                <w:bCs/>
                <w:color w:val="000000"/>
              </w:rPr>
              <w:t>45-54</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5,0</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3,7</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4,5</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5,6</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5,7</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5,0</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6,0</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4,2</w:t>
            </w:r>
          </w:p>
        </w:tc>
      </w:tr>
      <w:tr w:rsidR="0030093B" w:rsidRPr="004D0022" w:rsidTr="00716A77">
        <w:trPr>
          <w:trHeight w:val="454"/>
        </w:trPr>
        <w:tc>
          <w:tcPr>
            <w:tcW w:w="1006" w:type="dxa"/>
            <w:vAlign w:val="bottom"/>
          </w:tcPr>
          <w:p w:rsidR="0030093B" w:rsidRPr="004D0022" w:rsidRDefault="0030093B" w:rsidP="0030093B">
            <w:pPr>
              <w:jc w:val="center"/>
              <w:rPr>
                <w:rFonts w:ascii="Calibri" w:hAnsi="Calibri" w:cs="Calibri"/>
                <w:b/>
                <w:bCs/>
                <w:color w:val="000000"/>
              </w:rPr>
            </w:pPr>
            <w:r w:rsidRPr="004D0022">
              <w:rPr>
                <w:rFonts w:ascii="Calibri" w:hAnsi="Calibri" w:cs="Calibri"/>
                <w:b/>
                <w:bCs/>
                <w:color w:val="000000"/>
              </w:rPr>
              <w:t>55-64</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4,7</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2,3</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2,5</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4,0</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5,5</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4,0</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6,5</w:t>
            </w:r>
          </w:p>
        </w:tc>
        <w:tc>
          <w:tcPr>
            <w:tcW w:w="1007" w:type="dxa"/>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3,7</w:t>
            </w:r>
          </w:p>
        </w:tc>
      </w:tr>
      <w:tr w:rsidR="0030093B" w:rsidRPr="004D0022" w:rsidTr="00716A77">
        <w:trPr>
          <w:trHeight w:val="454"/>
        </w:trPr>
        <w:tc>
          <w:tcPr>
            <w:tcW w:w="1006" w:type="dxa"/>
            <w:tcBorders>
              <w:bottom w:val="single" w:sz="4" w:space="0" w:color="auto"/>
            </w:tcBorders>
            <w:vAlign w:val="bottom"/>
          </w:tcPr>
          <w:p w:rsidR="0030093B" w:rsidRPr="004D0022" w:rsidRDefault="0030093B" w:rsidP="0030093B">
            <w:pPr>
              <w:jc w:val="center"/>
              <w:rPr>
                <w:rFonts w:ascii="Calibri" w:hAnsi="Calibri" w:cs="Calibri"/>
                <w:b/>
                <w:bCs/>
                <w:color w:val="000000"/>
              </w:rPr>
            </w:pPr>
            <w:r w:rsidRPr="004D0022">
              <w:rPr>
                <w:rFonts w:ascii="Calibri" w:hAnsi="Calibri" w:cs="Calibri"/>
                <w:b/>
                <w:bCs/>
                <w:color w:val="000000"/>
              </w:rPr>
              <w:t>65-</w:t>
            </w:r>
          </w:p>
        </w:tc>
        <w:tc>
          <w:tcPr>
            <w:tcW w:w="1007" w:type="dxa"/>
            <w:tcBorders>
              <w:bottom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5,8</w:t>
            </w:r>
          </w:p>
        </w:tc>
        <w:tc>
          <w:tcPr>
            <w:tcW w:w="1007" w:type="dxa"/>
            <w:tcBorders>
              <w:bottom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3,8</w:t>
            </w:r>
          </w:p>
        </w:tc>
        <w:tc>
          <w:tcPr>
            <w:tcW w:w="1007" w:type="dxa"/>
            <w:tcBorders>
              <w:bottom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6,5</w:t>
            </w:r>
          </w:p>
        </w:tc>
        <w:tc>
          <w:tcPr>
            <w:tcW w:w="1007" w:type="dxa"/>
            <w:tcBorders>
              <w:bottom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7,0</w:t>
            </w:r>
          </w:p>
        </w:tc>
        <w:tc>
          <w:tcPr>
            <w:tcW w:w="1007" w:type="dxa"/>
            <w:tcBorders>
              <w:bottom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7,0</w:t>
            </w:r>
          </w:p>
        </w:tc>
        <w:tc>
          <w:tcPr>
            <w:tcW w:w="1007" w:type="dxa"/>
            <w:tcBorders>
              <w:bottom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5,8</w:t>
            </w:r>
          </w:p>
        </w:tc>
        <w:tc>
          <w:tcPr>
            <w:tcW w:w="1007" w:type="dxa"/>
            <w:tcBorders>
              <w:bottom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5,0</w:t>
            </w:r>
          </w:p>
        </w:tc>
        <w:tc>
          <w:tcPr>
            <w:tcW w:w="1007" w:type="dxa"/>
            <w:tcBorders>
              <w:bottom w:val="single" w:sz="4" w:space="0" w:color="auto"/>
            </w:tcBorders>
            <w:vAlign w:val="bottom"/>
          </w:tcPr>
          <w:p w:rsidR="0030093B" w:rsidRPr="004D0022" w:rsidRDefault="0030093B" w:rsidP="0030093B">
            <w:pPr>
              <w:jc w:val="center"/>
              <w:rPr>
                <w:rFonts w:ascii="Calibri" w:hAnsi="Calibri" w:cs="Calibri"/>
                <w:color w:val="000000"/>
              </w:rPr>
            </w:pPr>
            <w:r w:rsidRPr="004D0022">
              <w:rPr>
                <w:rFonts w:ascii="Calibri" w:hAnsi="Calibri" w:cs="Calibri"/>
                <w:color w:val="000000"/>
              </w:rPr>
              <w:t>6,3</w:t>
            </w:r>
          </w:p>
        </w:tc>
      </w:tr>
    </w:tbl>
    <w:p w:rsidR="00553999" w:rsidRPr="004D0022" w:rsidRDefault="00553999" w:rsidP="00553999">
      <w:pPr>
        <w:pStyle w:val="Body"/>
        <w:rPr>
          <w:lang w:val="sv-SE"/>
        </w:rPr>
      </w:pPr>
    </w:p>
    <w:p w:rsidR="00553999" w:rsidRPr="004D0022" w:rsidRDefault="00553999" w:rsidP="00553999">
      <w:pPr>
        <w:pStyle w:val="Body"/>
        <w:rPr>
          <w:lang w:val="sv-SE"/>
        </w:rPr>
      </w:pPr>
      <w:r w:rsidRPr="004D0022">
        <w:rPr>
          <w:lang w:val="sv-SE"/>
        </w:rPr>
        <w:t xml:space="preserve">På frågan om vad är det viktigaste skälet till att spara energi så anger </w:t>
      </w:r>
      <w:r w:rsidR="0030093B" w:rsidRPr="004D0022">
        <w:rPr>
          <w:lang w:val="sv-SE"/>
        </w:rPr>
        <w:t>endast 3</w:t>
      </w:r>
      <w:r w:rsidRPr="004D0022">
        <w:rPr>
          <w:lang w:val="sv-SE"/>
        </w:rPr>
        <w:t xml:space="preserve"> hushåll (</w:t>
      </w:r>
      <w:r w:rsidR="0030093B" w:rsidRPr="004D0022">
        <w:rPr>
          <w:lang w:val="sv-SE"/>
        </w:rPr>
        <w:t>12</w:t>
      </w:r>
      <w:r w:rsidRPr="004D0022">
        <w:rPr>
          <w:lang w:val="sv-SE"/>
        </w:rPr>
        <w:t xml:space="preserve"> %) att miljö är det viktigaste alternati</w:t>
      </w:r>
      <w:r w:rsidR="00D11023">
        <w:rPr>
          <w:lang w:val="sv-SE"/>
        </w:rPr>
        <w:t>vet att spara energi (se figur 8</w:t>
      </w:r>
      <w:r w:rsidRPr="004D0022">
        <w:rPr>
          <w:lang w:val="sv-SE"/>
        </w:rPr>
        <w:t xml:space="preserve">). En majoritet av hushåll, </w:t>
      </w:r>
      <w:r w:rsidR="0030093B" w:rsidRPr="004D0022">
        <w:rPr>
          <w:lang w:val="sv-SE"/>
        </w:rPr>
        <w:t>9</w:t>
      </w:r>
      <w:r w:rsidRPr="004D0022">
        <w:rPr>
          <w:lang w:val="sv-SE"/>
        </w:rPr>
        <w:t xml:space="preserve"> stycken (</w:t>
      </w:r>
      <w:r w:rsidR="0030093B" w:rsidRPr="004D0022">
        <w:rPr>
          <w:lang w:val="sv-SE"/>
        </w:rPr>
        <w:t>35</w:t>
      </w:r>
      <w:r w:rsidRPr="004D0022">
        <w:rPr>
          <w:lang w:val="sv-SE"/>
        </w:rPr>
        <w:t xml:space="preserve"> %), placerar sig neutralt, d.v.s. att miljö och pengar är lika viktiga anledningar för att spara energi.</w:t>
      </w:r>
      <w:r w:rsidR="0030093B" w:rsidRPr="004D0022">
        <w:rPr>
          <w:lang w:val="sv-SE"/>
        </w:rPr>
        <w:t xml:space="preserve"> </w:t>
      </w:r>
      <w:proofErr w:type="gramStart"/>
      <w:r w:rsidR="0030093B" w:rsidRPr="004D0022">
        <w:rPr>
          <w:lang w:val="sv-SE"/>
        </w:rPr>
        <w:t>En stor post har angett sig vara aningen mer positiva (’3’</w:t>
      </w:r>
      <w:proofErr w:type="gramEnd"/>
      <w:r w:rsidR="0030093B" w:rsidRPr="004D0022">
        <w:rPr>
          <w:lang w:val="sv-SE"/>
        </w:rPr>
        <w:t>) till miljö jämfört med pengar (31 %).</w:t>
      </w:r>
      <w:r w:rsidR="008D5C74" w:rsidRPr="004D0022">
        <w:rPr>
          <w:lang w:val="sv-SE"/>
        </w:rPr>
        <w:t xml:space="preserve"> </w:t>
      </w:r>
      <w:proofErr w:type="gramStart"/>
      <w:r w:rsidR="008D5C74" w:rsidRPr="004D0022">
        <w:rPr>
          <w:lang w:val="sv-SE"/>
        </w:rPr>
        <w:t>Cirka 10 % av hushållen har angett ’6’ eller ’7’</w:t>
      </w:r>
      <w:proofErr w:type="gramEnd"/>
      <w:r w:rsidR="008D5C74" w:rsidRPr="004D0022">
        <w:rPr>
          <w:lang w:val="sv-SE"/>
        </w:rPr>
        <w:t>, vilket anger att pengar är den viktigaste drivkraften.</w:t>
      </w:r>
      <w:r w:rsidR="0030093B" w:rsidRPr="004D0022">
        <w:rPr>
          <w:lang w:val="sv-SE"/>
        </w:rPr>
        <w:t xml:space="preserve"> </w:t>
      </w:r>
    </w:p>
    <w:p w:rsidR="00553999" w:rsidRPr="004D0022" w:rsidRDefault="0030093B" w:rsidP="00553999">
      <w:pPr>
        <w:pStyle w:val="Body"/>
        <w:rPr>
          <w:lang w:val="sv-SE"/>
        </w:rPr>
      </w:pPr>
      <w:r w:rsidRPr="004D0022">
        <w:rPr>
          <w:noProof/>
          <w:lang w:val="sv-SE" w:eastAsia="en-GB"/>
        </w:rPr>
        <w:lastRenderedPageBreak/>
        <w:drawing>
          <wp:inline distT="0" distB="0" distL="0" distR="0" wp14:anchorId="01B88A2A">
            <wp:extent cx="4579620" cy="2750820"/>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rsidR="00553999" w:rsidRPr="004D0022" w:rsidRDefault="00553999" w:rsidP="00553999">
      <w:pPr>
        <w:pStyle w:val="Figure"/>
        <w:rPr>
          <w:lang w:val="sv-SE"/>
        </w:rPr>
      </w:pPr>
      <w:r w:rsidRPr="004D0022">
        <w:rPr>
          <w:lang w:val="sv-SE"/>
        </w:rPr>
        <w:t>Antal hushåll som på en 7-gradig skala angett om miljö alternativt pengar är den viktigaste drivkraften för att spara energi.</w:t>
      </w:r>
    </w:p>
    <w:p w:rsidR="004D0022" w:rsidRDefault="008D5C74" w:rsidP="00716A77">
      <w:pPr>
        <w:pStyle w:val="Body"/>
        <w:rPr>
          <w:lang w:val="sv-SE"/>
        </w:rPr>
      </w:pPr>
      <w:r w:rsidRPr="004D0022">
        <w:rPr>
          <w:lang w:val="sv-SE"/>
        </w:rPr>
        <w:t xml:space="preserve">Av de hushåll som deltagit i den tidigare tävlingen Energismarta grannar under 2012 så uppger 8 stycken (40 %) att det varit oförändrat, inte lättare och inte svårare, att spara energi under den andra tävlingsomgången. </w:t>
      </w:r>
      <w:proofErr w:type="gramStart"/>
      <w:r w:rsidR="008E489B" w:rsidRPr="004D0022">
        <w:rPr>
          <w:lang w:val="sv-SE"/>
        </w:rPr>
        <w:t>Det är dock en övervägande andel av hushållen som anser att det är mycket lättare (’1’-’2’) eller något lättare (’2’-’3’</w:t>
      </w:r>
      <w:proofErr w:type="gramEnd"/>
      <w:r w:rsidR="008E489B" w:rsidRPr="004D0022">
        <w:rPr>
          <w:lang w:val="sv-SE"/>
        </w:rPr>
        <w:t>) att spara energi, totalt 9 stycken (45 %).</w:t>
      </w:r>
    </w:p>
    <w:p w:rsidR="004D0022" w:rsidRDefault="004D0022">
      <w:pPr>
        <w:rPr>
          <w:rFonts w:ascii="Times New Roman" w:hAnsi="Times New Roman"/>
          <w:sz w:val="24"/>
        </w:rPr>
      </w:pPr>
      <w:r>
        <w:br w:type="page"/>
      </w:r>
    </w:p>
    <w:p w:rsidR="008E489B" w:rsidRPr="004D0022" w:rsidRDefault="008E489B" w:rsidP="00716A77">
      <w:pPr>
        <w:pStyle w:val="Body"/>
        <w:rPr>
          <w:lang w:val="sv-SE"/>
        </w:rPr>
      </w:pPr>
    </w:p>
    <w:p w:rsidR="004D0022" w:rsidRPr="004D0022" w:rsidRDefault="004D0022" w:rsidP="00F81571">
      <w:pPr>
        <w:rPr>
          <w:rFonts w:ascii="Times New Roman" w:hAnsi="Times New Roman" w:cs="Times New Roman"/>
          <w:sz w:val="24"/>
          <w:szCs w:val="24"/>
        </w:rPr>
        <w:sectPr w:rsidR="004D0022" w:rsidRPr="004D0022">
          <w:pgSz w:w="11906" w:h="16838"/>
          <w:pgMar w:top="1417" w:right="1417" w:bottom="1417" w:left="1417" w:header="708" w:footer="708" w:gutter="0"/>
          <w:cols w:space="708"/>
          <w:docGrid w:linePitch="360"/>
        </w:sectPr>
      </w:pPr>
    </w:p>
    <w:p w:rsidR="00F81571" w:rsidRPr="004D0022" w:rsidRDefault="008E489B" w:rsidP="008E489B">
      <w:pPr>
        <w:pStyle w:val="Heading1"/>
      </w:pPr>
      <w:bookmarkStart w:id="10" w:name="_Toc390222496"/>
      <w:bookmarkStart w:id="11" w:name="_GoBack"/>
      <w:bookmarkEnd w:id="11"/>
      <w:r w:rsidRPr="004D0022">
        <w:lastRenderedPageBreak/>
        <w:t>Diskussion</w:t>
      </w:r>
      <w:bookmarkEnd w:id="10"/>
    </w:p>
    <w:p w:rsidR="006A0C76" w:rsidRPr="004D0022" w:rsidRDefault="008E489B" w:rsidP="00716A77">
      <w:pPr>
        <w:pStyle w:val="Body"/>
        <w:rPr>
          <w:lang w:val="sv-SE"/>
        </w:rPr>
      </w:pPr>
      <w:r w:rsidRPr="004D0022">
        <w:rPr>
          <w:lang w:val="sv-SE"/>
        </w:rPr>
        <w:t xml:space="preserve">I den första enkätundersökningen, maj 2012, så skickades 43 enkäter ut, varav 16 hushåll svarade. Detta är en acceptabel svarsfrekvens, i linje med tidigare studier, men vissa grupper är helt frånvarande i underlaget, bland annat åldersgruppen ’18-24 år’. </w:t>
      </w:r>
      <w:r w:rsidR="00603937" w:rsidRPr="004D0022">
        <w:rPr>
          <w:lang w:val="sv-SE"/>
        </w:rPr>
        <w:t xml:space="preserve">I andra utskicket, maj 2013, så erhölls ungefär samma svarsfrekvens, 26 stycken (38 %), men med en jämnare fördelning mellan åldersgrupperna. </w:t>
      </w:r>
      <w:r w:rsidR="008C357F" w:rsidRPr="004D0022">
        <w:rPr>
          <w:lang w:val="sv-SE"/>
        </w:rPr>
        <w:t>Likaså förekommer det en bredare fördelning både på inkomst per person samt på antalet familjemedlemmar i hushållen. Den senare studien är antagligen tack vare en något högre antal mer representativ jämfört med tidigare studier.</w:t>
      </w:r>
    </w:p>
    <w:p w:rsidR="006A0C76" w:rsidRPr="004D0022" w:rsidRDefault="006A0C76" w:rsidP="00716A77">
      <w:pPr>
        <w:pStyle w:val="Body"/>
        <w:rPr>
          <w:lang w:val="sv-SE"/>
        </w:rPr>
      </w:pPr>
      <w:r w:rsidRPr="004D0022">
        <w:rPr>
          <w:lang w:val="sv-SE"/>
        </w:rPr>
        <w:t xml:space="preserve">Det deltagande hushållen uppger sig har mycket god eller god kännedom hur energin förbrukas i hushållet, stort intresse för energifrågor samt en strävan att minimera energiförbrukningen. Hushållen i enkäten 2012 har väldigt höga siffror när det gäller energimedvetenhet, där 15 av 16 hushåll (99 %) anger att de mycket väl vet hur energiförbrukningen kan sänkas. I enkäten 2013, när urvalet har ökar, så sjunker också siffrorna mer i linje med tidigare studier, där cirka 60 % uppger sig veta hur energiförbrukningen kan sänkas. </w:t>
      </w:r>
    </w:p>
    <w:p w:rsidR="008E489B" w:rsidRPr="004D0022" w:rsidRDefault="00603937" w:rsidP="00716A77">
      <w:pPr>
        <w:pStyle w:val="Body"/>
        <w:rPr>
          <w:lang w:val="sv-SE"/>
        </w:rPr>
      </w:pPr>
      <w:r w:rsidRPr="004D0022">
        <w:rPr>
          <w:lang w:val="sv-SE"/>
        </w:rPr>
        <w:t xml:space="preserve">I den senare enkätstudien finns </w:t>
      </w:r>
      <w:r w:rsidR="006A0C76" w:rsidRPr="004D0022">
        <w:rPr>
          <w:lang w:val="sv-SE"/>
        </w:rPr>
        <w:t xml:space="preserve">även </w:t>
      </w:r>
      <w:r w:rsidRPr="004D0022">
        <w:rPr>
          <w:lang w:val="sv-SE"/>
        </w:rPr>
        <w:t>en bättre överensstämmelse med tidigare resultat</w:t>
      </w:r>
      <w:r w:rsidR="002401A0" w:rsidRPr="004D0022">
        <w:rPr>
          <w:lang w:val="sv-SE"/>
        </w:rPr>
        <w:t xml:space="preserve"> när det gäller hur hushållen vill ha förbrukningsinformation återkopplad. Resultaten stämmer b</w:t>
      </w:r>
      <w:r w:rsidRPr="004D0022">
        <w:rPr>
          <w:lang w:val="sv-SE"/>
        </w:rPr>
        <w:t>land annat från forskargruppens studier i Växjöområdet där totalt 2 000 kunder</w:t>
      </w:r>
      <w:r w:rsidR="002401A0" w:rsidRPr="004D0022">
        <w:rPr>
          <w:lang w:val="sv-SE"/>
        </w:rPr>
        <w:t xml:space="preserve"> fick det ursprungliga utskicket, och svarsfrekvensen varierade mellan 25 % (lägenheter) och 44 % (villor)</w:t>
      </w:r>
      <w:r w:rsidRPr="004D0022">
        <w:rPr>
          <w:lang w:val="sv-SE"/>
        </w:rPr>
        <w:t xml:space="preserve">. </w:t>
      </w:r>
      <w:proofErr w:type="gramStart"/>
      <w:r w:rsidR="00716A77" w:rsidRPr="004D0022">
        <w:rPr>
          <w:lang w:val="sv-SE"/>
        </w:rPr>
        <w:t>Hos d</w:t>
      </w:r>
      <w:r w:rsidRPr="004D0022">
        <w:rPr>
          <w:lang w:val="sv-SE"/>
        </w:rPr>
        <w:t>e yngre åldersgrupperna är även här</w:t>
      </w:r>
      <w:r w:rsidR="00716A77" w:rsidRPr="004D0022">
        <w:rPr>
          <w:lang w:val="sv-SE"/>
        </w:rPr>
        <w:t xml:space="preserve"> (maj 2013)</w:t>
      </w:r>
      <w:r w:rsidRPr="004D0022">
        <w:rPr>
          <w:lang w:val="sv-SE"/>
        </w:rPr>
        <w:t xml:space="preserve"> mer positiva vad det gäller </w:t>
      </w:r>
      <w:r w:rsidR="00716A77" w:rsidRPr="004D0022">
        <w:rPr>
          <w:lang w:val="sv-SE"/>
        </w:rPr>
        <w:t>’Display’</w:t>
      </w:r>
      <w:r w:rsidRPr="004D0022">
        <w:rPr>
          <w:lang w:val="sv-SE"/>
        </w:rPr>
        <w:t xml:space="preserve"> och </w:t>
      </w:r>
      <w:r w:rsidR="00716A77" w:rsidRPr="004D0022">
        <w:rPr>
          <w:lang w:val="sv-SE"/>
        </w:rPr>
        <w:t>’</w:t>
      </w:r>
      <w:proofErr w:type="spellStart"/>
      <w:r w:rsidRPr="004D0022">
        <w:rPr>
          <w:lang w:val="sv-SE"/>
        </w:rPr>
        <w:t>Apps</w:t>
      </w:r>
      <w:proofErr w:type="spellEnd"/>
      <w:r w:rsidR="00716A77" w:rsidRPr="004D0022">
        <w:rPr>
          <w:lang w:val="sv-SE"/>
        </w:rPr>
        <w:t>’</w:t>
      </w:r>
      <w:r w:rsidRPr="004D0022">
        <w:rPr>
          <w:lang w:val="sv-SE"/>
        </w:rPr>
        <w:t xml:space="preserve">, medan de äldre föredrar </w:t>
      </w:r>
      <w:r w:rsidR="00716A77" w:rsidRPr="004D0022">
        <w:rPr>
          <w:lang w:val="sv-SE"/>
        </w:rPr>
        <w:t>’B</w:t>
      </w:r>
      <w:r w:rsidRPr="004D0022">
        <w:rPr>
          <w:lang w:val="sv-SE"/>
        </w:rPr>
        <w:t>rev</w:t>
      </w:r>
      <w:r w:rsidR="00716A77" w:rsidRPr="004D0022">
        <w:rPr>
          <w:lang w:val="sv-SE"/>
        </w:rPr>
        <w:t>’</w:t>
      </w:r>
      <w:r w:rsidRPr="004D0022">
        <w:rPr>
          <w:lang w:val="sv-SE"/>
        </w:rPr>
        <w:t xml:space="preserve">, </w:t>
      </w:r>
      <w:r w:rsidR="00716A77" w:rsidRPr="004D0022">
        <w:rPr>
          <w:lang w:val="sv-SE"/>
        </w:rPr>
        <w:t>’W</w:t>
      </w:r>
      <w:r w:rsidRPr="004D0022">
        <w:rPr>
          <w:lang w:val="sv-SE"/>
        </w:rPr>
        <w:t>ebb</w:t>
      </w:r>
      <w:r w:rsidR="00716A77" w:rsidRPr="004D0022">
        <w:rPr>
          <w:lang w:val="sv-SE"/>
        </w:rPr>
        <w:t>’</w:t>
      </w:r>
      <w:r w:rsidRPr="004D0022">
        <w:rPr>
          <w:lang w:val="sv-SE"/>
        </w:rPr>
        <w:t xml:space="preserve"> och </w:t>
      </w:r>
      <w:r w:rsidR="00716A77" w:rsidRPr="004D0022">
        <w:rPr>
          <w:lang w:val="sv-SE"/>
        </w:rPr>
        <w:t>’E</w:t>
      </w:r>
      <w:r w:rsidRPr="004D0022">
        <w:rPr>
          <w:lang w:val="sv-SE"/>
        </w:rPr>
        <w:t>-post</w:t>
      </w:r>
      <w:r w:rsidR="00716A77" w:rsidRPr="004D0022">
        <w:rPr>
          <w:lang w:val="sv-SE"/>
        </w:rPr>
        <w:t>’</w:t>
      </w:r>
      <w:proofErr w:type="gramEnd"/>
      <w:r w:rsidR="00716A77" w:rsidRPr="004D0022">
        <w:rPr>
          <w:lang w:val="sv-SE"/>
        </w:rPr>
        <w:t>, vilket även återfinns i Växjöstudien</w:t>
      </w:r>
      <w:r w:rsidR="00716A77" w:rsidRPr="004D0022">
        <w:rPr>
          <w:rStyle w:val="FootnoteReference"/>
          <w:rFonts w:cs="Times New Roman"/>
          <w:szCs w:val="24"/>
          <w:lang w:val="sv-SE"/>
        </w:rPr>
        <w:footnoteReference w:id="4"/>
      </w:r>
      <w:r w:rsidRPr="004D0022">
        <w:rPr>
          <w:lang w:val="sv-SE"/>
        </w:rPr>
        <w:t>. En förklaring till att vi i denna studie fått fler positiva</w:t>
      </w:r>
      <w:r w:rsidR="00716A77" w:rsidRPr="004D0022">
        <w:rPr>
          <w:lang w:val="sv-SE"/>
        </w:rPr>
        <w:t xml:space="preserve"> enkätsvar när det gäller</w:t>
      </w:r>
      <w:r w:rsidRPr="004D0022">
        <w:rPr>
          <w:lang w:val="sv-SE"/>
        </w:rPr>
        <w:t xml:space="preserve"> webb </w:t>
      </w:r>
      <w:r w:rsidR="00716A77" w:rsidRPr="004D0022">
        <w:rPr>
          <w:lang w:val="sv-SE"/>
        </w:rPr>
        <w:t>och e-post hos de</w:t>
      </w:r>
      <w:r w:rsidRPr="004D0022">
        <w:rPr>
          <w:lang w:val="sv-SE"/>
        </w:rPr>
        <w:t xml:space="preserve"> äldre </w:t>
      </w:r>
      <w:r w:rsidR="002401A0" w:rsidRPr="004D0022">
        <w:rPr>
          <w:lang w:val="sv-SE"/>
        </w:rPr>
        <w:t>ålders</w:t>
      </w:r>
      <w:r w:rsidR="00716A77" w:rsidRPr="004D0022">
        <w:rPr>
          <w:lang w:val="sv-SE"/>
        </w:rPr>
        <w:t xml:space="preserve">kategorierna </w:t>
      </w:r>
      <w:r w:rsidRPr="004D0022">
        <w:rPr>
          <w:lang w:val="sv-SE"/>
        </w:rPr>
        <w:t xml:space="preserve">kan antagligen förklaras med att det gått cirka </w:t>
      </w:r>
      <w:r w:rsidR="00716A77" w:rsidRPr="004D0022">
        <w:rPr>
          <w:lang w:val="sv-SE"/>
        </w:rPr>
        <w:t xml:space="preserve">4 år sedan den </w:t>
      </w:r>
      <w:r w:rsidR="002401A0" w:rsidRPr="004D0022">
        <w:rPr>
          <w:lang w:val="sv-SE"/>
        </w:rPr>
        <w:t>Växjö</w:t>
      </w:r>
      <w:r w:rsidR="00716A77" w:rsidRPr="004D0022">
        <w:rPr>
          <w:lang w:val="sv-SE"/>
        </w:rPr>
        <w:t>enkätstudien gjordes, och dessa webbaserade verktyg blir allt mer populära och accepterade.</w:t>
      </w:r>
      <w:r w:rsidR="00615276" w:rsidRPr="004D0022">
        <w:rPr>
          <w:lang w:val="sv-SE"/>
        </w:rPr>
        <w:t xml:space="preserve"> </w:t>
      </w:r>
      <w:proofErr w:type="gramStart"/>
      <w:r w:rsidR="00615276" w:rsidRPr="004D0022">
        <w:rPr>
          <w:lang w:val="sv-SE"/>
        </w:rPr>
        <w:t xml:space="preserve">En trend kan </w:t>
      </w:r>
      <w:r w:rsidR="00615276" w:rsidRPr="004D0022">
        <w:rPr>
          <w:lang w:val="sv-SE"/>
        </w:rPr>
        <w:t xml:space="preserve">därmed kan </w:t>
      </w:r>
      <w:r w:rsidR="00615276" w:rsidRPr="004D0022">
        <w:rPr>
          <w:lang w:val="sv-SE"/>
        </w:rPr>
        <w:t xml:space="preserve">observeras att de äldre hushållen blir mer positivt inställda till internetbaserade tjänster, som </w:t>
      </w:r>
      <w:r w:rsidR="00615276" w:rsidRPr="004D0022">
        <w:rPr>
          <w:lang w:val="sv-SE"/>
        </w:rPr>
        <w:t>’M</w:t>
      </w:r>
      <w:r w:rsidR="00615276" w:rsidRPr="004D0022">
        <w:rPr>
          <w:lang w:val="sv-SE"/>
        </w:rPr>
        <w:t>ina sidor</w:t>
      </w:r>
      <w:r w:rsidR="00615276" w:rsidRPr="004D0022">
        <w:rPr>
          <w:lang w:val="sv-SE"/>
        </w:rPr>
        <w:t>’</w:t>
      </w:r>
      <w:r w:rsidR="00615276" w:rsidRPr="004D0022">
        <w:rPr>
          <w:lang w:val="sv-SE"/>
        </w:rPr>
        <w:t xml:space="preserve"> och </w:t>
      </w:r>
      <w:r w:rsidR="00615276" w:rsidRPr="004D0022">
        <w:rPr>
          <w:lang w:val="sv-SE"/>
        </w:rPr>
        <w:t>’E</w:t>
      </w:r>
      <w:r w:rsidR="00615276" w:rsidRPr="004D0022">
        <w:rPr>
          <w:lang w:val="sv-SE"/>
        </w:rPr>
        <w:t>-post</w:t>
      </w:r>
      <w:r w:rsidR="00615276" w:rsidRPr="004D0022">
        <w:rPr>
          <w:lang w:val="sv-SE"/>
        </w:rPr>
        <w:t>’</w:t>
      </w:r>
      <w:proofErr w:type="gramEnd"/>
      <w:r w:rsidR="00615276" w:rsidRPr="004D0022">
        <w:rPr>
          <w:lang w:val="sv-SE"/>
        </w:rPr>
        <w:t xml:space="preserve"> än tidigare.</w:t>
      </w:r>
    </w:p>
    <w:p w:rsidR="004D0022" w:rsidRDefault="00FF399B" w:rsidP="00FF399B">
      <w:pPr>
        <w:pStyle w:val="Body"/>
        <w:rPr>
          <w:lang w:val="sv-SE"/>
        </w:rPr>
      </w:pPr>
      <w:r w:rsidRPr="004D0022">
        <w:rPr>
          <w:lang w:val="sv-SE"/>
        </w:rPr>
        <w:t xml:space="preserve">Vidare så kan man även se att drivkrafterna för energisparåtgärder normaliseras när urvalet har ökar. I båda enkätstudierna finns en viss övervikt när det gäller miljö som drivkraft för </w:t>
      </w:r>
      <w:r w:rsidRPr="004D0022">
        <w:rPr>
          <w:lang w:val="sv-SE"/>
        </w:rPr>
        <w:lastRenderedPageBreak/>
        <w:t xml:space="preserve">energisparåtgärder, men betydelsen av pengar ökar i den senare. I tidigare studier har det varit tydligt att hushåll med en större förbrukning, ofta villor, har en större medvetenhet när det gäller energiförbrukning, och även att pengar är en större drivkraft. Detta beror på att dessa hushåll också har mer att tjäna på att vara energieffektiva. </w:t>
      </w:r>
      <w:bookmarkStart w:id="12" w:name="_Ref387318100"/>
    </w:p>
    <w:p w:rsidR="004D0022" w:rsidRDefault="004D0022">
      <w:pPr>
        <w:rPr>
          <w:rFonts w:ascii="Times New Roman" w:hAnsi="Times New Roman"/>
          <w:sz w:val="24"/>
        </w:rPr>
      </w:pPr>
      <w:r>
        <w:br w:type="page"/>
      </w:r>
    </w:p>
    <w:p w:rsidR="00AC6EF0" w:rsidRDefault="00AC6EF0" w:rsidP="00FF399B">
      <w:pPr>
        <w:pStyle w:val="Body"/>
        <w:rPr>
          <w:lang w:val="sv-SE"/>
        </w:rPr>
      </w:pPr>
    </w:p>
    <w:p w:rsidR="004D0022" w:rsidRPr="004D0022" w:rsidRDefault="004D0022" w:rsidP="00FF399B">
      <w:pPr>
        <w:pStyle w:val="Body"/>
        <w:rPr>
          <w:lang w:val="sv-SE"/>
        </w:rPr>
        <w:sectPr w:rsidR="004D0022" w:rsidRPr="004D0022">
          <w:pgSz w:w="11906" w:h="16838"/>
          <w:pgMar w:top="1417" w:right="1417" w:bottom="1417" w:left="1417" w:header="708" w:footer="708" w:gutter="0"/>
          <w:cols w:space="708"/>
          <w:docGrid w:linePitch="360"/>
        </w:sectPr>
      </w:pPr>
    </w:p>
    <w:bookmarkEnd w:id="12"/>
    <w:p w:rsidR="00B628C8" w:rsidRPr="004D0022" w:rsidRDefault="00B628C8" w:rsidP="0071078D">
      <w:pPr>
        <w:pStyle w:val="Body"/>
        <w:rPr>
          <w:lang w:val="sv-SE"/>
        </w:rPr>
      </w:pPr>
    </w:p>
    <w:sectPr w:rsidR="00B628C8" w:rsidRPr="004D0022">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C21" w:rsidRDefault="00EA2C21" w:rsidP="00610639">
      <w:pPr>
        <w:spacing w:after="0" w:line="240" w:lineRule="auto"/>
      </w:pPr>
      <w:r>
        <w:separator/>
      </w:r>
    </w:p>
  </w:endnote>
  <w:endnote w:type="continuationSeparator" w:id="0">
    <w:p w:rsidR="00EA2C21" w:rsidRDefault="00EA2C21" w:rsidP="0061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77" w:rsidRPr="00610639" w:rsidRDefault="00716A77">
    <w:pPr>
      <w:pStyle w:val="Footer"/>
      <w:jc w:val="center"/>
      <w:rPr>
        <w:rFonts w:ascii="Times New Roman" w:hAnsi="Times New Roman" w:cs="Times New Roman"/>
        <w:caps/>
        <w:noProof/>
        <w:color w:val="000000" w:themeColor="text1"/>
        <w:sz w:val="24"/>
        <w:szCs w:val="24"/>
      </w:rPr>
    </w:pPr>
  </w:p>
  <w:p w:rsidR="00716A77" w:rsidRDefault="00716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77" w:rsidRDefault="00716A77" w:rsidP="00BC3441">
    <w:pPr>
      <w:pStyle w:val="Footer"/>
      <w:jc w:val="center"/>
    </w:pPr>
  </w:p>
  <w:p w:rsidR="00716A77" w:rsidRDefault="00716A77" w:rsidP="00BC3441">
    <w:pPr>
      <w:pStyle w:val="Footer"/>
      <w:jc w:val="center"/>
    </w:pPr>
  </w:p>
  <w:p w:rsidR="00716A77" w:rsidRDefault="00716A77" w:rsidP="00BC3441">
    <w:pPr>
      <w:pStyle w:val="Footer"/>
      <w:jc w:val="center"/>
    </w:pPr>
  </w:p>
  <w:p w:rsidR="00716A77" w:rsidRDefault="00716A77" w:rsidP="00BC3441">
    <w:pPr>
      <w:pStyle w:val="Footer"/>
      <w:jc w:val="center"/>
    </w:pPr>
    <w:r>
      <w:rPr>
        <w:noProof/>
        <w:lang w:val="en-GB" w:eastAsia="en-GB"/>
      </w:rPr>
      <w:drawing>
        <wp:inline distT="0" distB="0" distL="0" distR="0">
          <wp:extent cx="1704975" cy="962214"/>
          <wp:effectExtent l="0" t="0" r="0" b="9525"/>
          <wp:docPr id="2063" name="Picture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MDH_logo_centralised.jpg"/>
                  <pic:cNvPicPr/>
                </pic:nvPicPr>
                <pic:blipFill>
                  <a:blip r:embed="rId1">
                    <a:extLst>
                      <a:ext uri="{28A0092B-C50C-407E-A947-70E740481C1C}">
                        <a14:useLocalDpi xmlns:a14="http://schemas.microsoft.com/office/drawing/2010/main" val="0"/>
                      </a:ext>
                    </a:extLst>
                  </a:blip>
                  <a:stretch>
                    <a:fillRect/>
                  </a:stretch>
                </pic:blipFill>
                <pic:spPr>
                  <a:xfrm>
                    <a:off x="0" y="0"/>
                    <a:ext cx="1717158" cy="969089"/>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77" w:rsidRPr="00610639" w:rsidRDefault="00716A77">
    <w:pPr>
      <w:pStyle w:val="Footer"/>
      <w:jc w:val="center"/>
      <w:rPr>
        <w:rFonts w:ascii="Times New Roman" w:hAnsi="Times New Roman" w:cs="Times New Roman"/>
        <w:caps/>
        <w:noProof/>
        <w:color w:val="000000" w:themeColor="text1"/>
        <w:sz w:val="24"/>
        <w:szCs w:val="24"/>
      </w:rPr>
    </w:pPr>
    <w:r w:rsidRPr="00610639">
      <w:rPr>
        <w:rFonts w:ascii="Times New Roman" w:hAnsi="Times New Roman" w:cs="Times New Roman"/>
        <w:caps/>
        <w:color w:val="000000" w:themeColor="text1"/>
        <w:sz w:val="24"/>
        <w:szCs w:val="24"/>
      </w:rPr>
      <w:fldChar w:fldCharType="begin"/>
    </w:r>
    <w:r w:rsidRPr="00610639">
      <w:rPr>
        <w:rFonts w:ascii="Times New Roman" w:hAnsi="Times New Roman" w:cs="Times New Roman"/>
        <w:caps/>
        <w:color w:val="000000" w:themeColor="text1"/>
        <w:sz w:val="24"/>
        <w:szCs w:val="24"/>
      </w:rPr>
      <w:instrText xml:space="preserve"> PAGE   \* MERGEFORMAT </w:instrText>
    </w:r>
    <w:r w:rsidRPr="00610639">
      <w:rPr>
        <w:rFonts w:ascii="Times New Roman" w:hAnsi="Times New Roman" w:cs="Times New Roman"/>
        <w:caps/>
        <w:color w:val="000000" w:themeColor="text1"/>
        <w:sz w:val="24"/>
        <w:szCs w:val="24"/>
      </w:rPr>
      <w:fldChar w:fldCharType="separate"/>
    </w:r>
    <w:r w:rsidR="00D11023">
      <w:rPr>
        <w:rFonts w:ascii="Times New Roman" w:hAnsi="Times New Roman" w:cs="Times New Roman"/>
        <w:caps/>
        <w:noProof/>
        <w:color w:val="000000" w:themeColor="text1"/>
        <w:sz w:val="24"/>
        <w:szCs w:val="24"/>
      </w:rPr>
      <w:t>19</w:t>
    </w:r>
    <w:r w:rsidRPr="00610639">
      <w:rPr>
        <w:rFonts w:ascii="Times New Roman" w:hAnsi="Times New Roman" w:cs="Times New Roman"/>
        <w:caps/>
        <w:noProof/>
        <w:color w:val="000000" w:themeColor="text1"/>
        <w:sz w:val="24"/>
        <w:szCs w:val="24"/>
      </w:rPr>
      <w:fldChar w:fldCharType="end"/>
    </w:r>
  </w:p>
  <w:p w:rsidR="00716A77" w:rsidRDefault="00716A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77" w:rsidRPr="00610639" w:rsidRDefault="00716A77">
    <w:pPr>
      <w:pStyle w:val="Footer"/>
      <w:jc w:val="center"/>
      <w:rPr>
        <w:rFonts w:ascii="Times New Roman" w:hAnsi="Times New Roman" w:cs="Times New Roman"/>
        <w:caps/>
        <w:noProof/>
        <w:color w:val="000000" w:themeColor="text1"/>
        <w:sz w:val="24"/>
        <w:szCs w:val="24"/>
      </w:rPr>
    </w:pPr>
    <w:r>
      <w:rPr>
        <w:rFonts w:ascii="Times New Roman" w:hAnsi="Times New Roman" w:cs="Times New Roman"/>
        <w:caps/>
        <w:noProof/>
        <w:color w:val="000000" w:themeColor="text1"/>
        <w:sz w:val="24"/>
        <w:szCs w:val="24"/>
        <w:lang w:val="en-GB" w:eastAsia="en-GB"/>
      </w:rPr>
      <w:drawing>
        <wp:inline distT="0" distB="0" distL="0" distR="0">
          <wp:extent cx="1704975" cy="962214"/>
          <wp:effectExtent l="0" t="0" r="0" b="9525"/>
          <wp:docPr id="2066" name="Picture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 name="MDH_logo_centralised.jpg"/>
                  <pic:cNvPicPr/>
                </pic:nvPicPr>
                <pic:blipFill>
                  <a:blip r:embed="rId1">
                    <a:extLst>
                      <a:ext uri="{28A0092B-C50C-407E-A947-70E740481C1C}">
                        <a14:useLocalDpi xmlns:a14="http://schemas.microsoft.com/office/drawing/2010/main" val="0"/>
                      </a:ext>
                    </a:extLst>
                  </a:blip>
                  <a:stretch>
                    <a:fillRect/>
                  </a:stretch>
                </pic:blipFill>
                <pic:spPr>
                  <a:xfrm>
                    <a:off x="0" y="0"/>
                    <a:ext cx="1740135" cy="982057"/>
                  </a:xfrm>
                  <a:prstGeom prst="rect">
                    <a:avLst/>
                  </a:prstGeom>
                </pic:spPr>
              </pic:pic>
            </a:graphicData>
          </a:graphic>
        </wp:inline>
      </w:drawing>
    </w:r>
  </w:p>
  <w:p w:rsidR="00716A77" w:rsidRDefault="00716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C21" w:rsidRDefault="00EA2C21" w:rsidP="00610639">
      <w:pPr>
        <w:spacing w:after="0" w:line="240" w:lineRule="auto"/>
      </w:pPr>
      <w:r>
        <w:separator/>
      </w:r>
    </w:p>
  </w:footnote>
  <w:footnote w:type="continuationSeparator" w:id="0">
    <w:p w:rsidR="00EA2C21" w:rsidRDefault="00EA2C21" w:rsidP="00610639">
      <w:pPr>
        <w:spacing w:after="0" w:line="240" w:lineRule="auto"/>
      </w:pPr>
      <w:r>
        <w:continuationSeparator/>
      </w:r>
    </w:p>
  </w:footnote>
  <w:footnote w:id="1">
    <w:p w:rsidR="0028288E" w:rsidRPr="0028288E" w:rsidRDefault="0028288E">
      <w:pPr>
        <w:pStyle w:val="FootnoteText"/>
        <w:rPr>
          <w:lang w:val="en-GB"/>
        </w:rPr>
      </w:pPr>
      <w:r>
        <w:rPr>
          <w:rStyle w:val="FootnoteReference"/>
        </w:rPr>
        <w:footnoteRef/>
      </w:r>
      <w:r w:rsidRPr="0028288E">
        <w:rPr>
          <w:lang w:val="en-GB"/>
        </w:rPr>
        <w:t xml:space="preserve"> Swedish Energy Agency http://w</w:t>
      </w:r>
      <w:r>
        <w:rPr>
          <w:lang w:val="en-GB"/>
        </w:rPr>
        <w:t>ww.energimyndigheten.se/ (</w:t>
      </w:r>
      <w:r w:rsidRPr="0028288E">
        <w:rPr>
          <w:lang w:val="en-GB"/>
        </w:rPr>
        <w:t>2009/04/15</w:t>
      </w:r>
      <w:r>
        <w:rPr>
          <w:lang w:val="en-GB"/>
        </w:rPr>
        <w:t>)</w:t>
      </w:r>
    </w:p>
  </w:footnote>
  <w:footnote w:id="2">
    <w:p w:rsidR="0028288E" w:rsidRPr="0028288E" w:rsidRDefault="0028288E">
      <w:pPr>
        <w:pStyle w:val="FootnoteText"/>
        <w:rPr>
          <w:lang w:val="en-GB"/>
        </w:rPr>
      </w:pPr>
      <w:r>
        <w:rPr>
          <w:rStyle w:val="FootnoteReference"/>
        </w:rPr>
        <w:footnoteRef/>
      </w:r>
      <w:r w:rsidRPr="0028288E">
        <w:rPr>
          <w:lang w:val="en-GB"/>
        </w:rPr>
        <w:t xml:space="preserve"> </w:t>
      </w:r>
      <w:proofErr w:type="spellStart"/>
      <w:r w:rsidRPr="0028288E">
        <w:rPr>
          <w:lang w:val="en-GB"/>
        </w:rPr>
        <w:t>Martinsson</w:t>
      </w:r>
      <w:proofErr w:type="spellEnd"/>
      <w:r w:rsidRPr="0028288E">
        <w:rPr>
          <w:lang w:val="en-GB"/>
        </w:rPr>
        <w:t xml:space="preserve"> J, </w:t>
      </w:r>
      <w:proofErr w:type="spellStart"/>
      <w:r w:rsidRPr="0028288E">
        <w:rPr>
          <w:lang w:val="en-GB"/>
        </w:rPr>
        <w:t>Lundqvist</w:t>
      </w:r>
      <w:proofErr w:type="spellEnd"/>
      <w:r w:rsidRPr="0028288E">
        <w:rPr>
          <w:lang w:val="en-GB"/>
        </w:rPr>
        <w:t xml:space="preserve"> LJ, Sundström A. Energy saving in Swedish households - The (relative) importance of environmental attitudes. Energy Policy, 2011; 39:5, pp. 182–91.</w:t>
      </w:r>
    </w:p>
  </w:footnote>
  <w:footnote w:id="3">
    <w:p w:rsidR="00716A77" w:rsidRPr="007A780E" w:rsidRDefault="00716A77">
      <w:pPr>
        <w:pStyle w:val="FootnoteText"/>
        <w:rPr>
          <w:lang w:val="en-GB"/>
        </w:rPr>
      </w:pPr>
      <w:r>
        <w:rPr>
          <w:rStyle w:val="FootnoteReference"/>
        </w:rPr>
        <w:footnoteRef/>
      </w:r>
      <w:r w:rsidRPr="007A780E">
        <w:rPr>
          <w:lang w:val="en-GB"/>
        </w:rPr>
        <w:t xml:space="preserve"> S. </w:t>
      </w:r>
      <w:proofErr w:type="spellStart"/>
      <w:r w:rsidRPr="007A780E">
        <w:rPr>
          <w:lang w:val="en-GB"/>
        </w:rPr>
        <w:t>Gyamfi</w:t>
      </w:r>
      <w:proofErr w:type="spellEnd"/>
      <w:r w:rsidRPr="007A780E">
        <w:rPr>
          <w:lang w:val="en-GB"/>
        </w:rPr>
        <w:t xml:space="preserve"> and S. </w:t>
      </w:r>
      <w:proofErr w:type="spellStart"/>
      <w:r w:rsidRPr="007A780E">
        <w:rPr>
          <w:lang w:val="en-GB"/>
        </w:rPr>
        <w:t>Krumdieck</w:t>
      </w:r>
      <w:proofErr w:type="spellEnd"/>
      <w:r w:rsidRPr="007A780E">
        <w:rPr>
          <w:lang w:val="en-GB"/>
        </w:rPr>
        <w:t>, "Price, environment and security: Exploring multi-modal motivation in voluntary residential peak demand response," Energy Policy, vol. 39, pp. 2993-3004, 2011</w:t>
      </w:r>
    </w:p>
  </w:footnote>
  <w:footnote w:id="4">
    <w:p w:rsidR="00716A77" w:rsidRPr="00716A77" w:rsidRDefault="00716A77">
      <w:pPr>
        <w:pStyle w:val="FootnoteText"/>
        <w:rPr>
          <w:lang w:val="en-GB"/>
        </w:rPr>
      </w:pPr>
      <w:r>
        <w:rPr>
          <w:rStyle w:val="FootnoteReference"/>
        </w:rPr>
        <w:footnoteRef/>
      </w:r>
      <w:r w:rsidRPr="00716A77">
        <w:rPr>
          <w:lang w:val="en-GB"/>
        </w:rPr>
        <w:t xml:space="preserve"> Vassileva, I., Wallin, F., Ding, Y., </w:t>
      </w:r>
      <w:proofErr w:type="spellStart"/>
      <w:r w:rsidRPr="00716A77">
        <w:rPr>
          <w:lang w:val="en-GB"/>
        </w:rPr>
        <w:t>Beigl</w:t>
      </w:r>
      <w:proofErr w:type="spellEnd"/>
      <w:r w:rsidRPr="00716A77">
        <w:rPr>
          <w:lang w:val="en-GB"/>
        </w:rPr>
        <w:t>, M. Dahlquist, E. (2011). “Household indicators for developing innovative feedback technologies”, 2011 2nd IEEE PES International Conference and Exhibition on Innovative Smart Grid Technologies (ISGT Europe), 5-7 Dec., 2011, Manchester, UK, ISBN 978-1-4577-1422-1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77" w:rsidRDefault="00716A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77" w:rsidRDefault="00716A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77" w:rsidRDefault="00716A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33E"/>
    <w:multiLevelType w:val="hybridMultilevel"/>
    <w:tmpl w:val="1E5E5E58"/>
    <w:lvl w:ilvl="0" w:tplc="925C7FE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AC94ADF"/>
    <w:multiLevelType w:val="hybridMultilevel"/>
    <w:tmpl w:val="0302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4E600B"/>
    <w:multiLevelType w:val="hybridMultilevel"/>
    <w:tmpl w:val="B750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493F69"/>
    <w:multiLevelType w:val="hybridMultilevel"/>
    <w:tmpl w:val="AFDA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D70D2C"/>
    <w:multiLevelType w:val="hybridMultilevel"/>
    <w:tmpl w:val="E53C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2262A0"/>
    <w:multiLevelType w:val="multilevel"/>
    <w:tmpl w:val="B1489F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0043DA2"/>
    <w:multiLevelType w:val="hybridMultilevel"/>
    <w:tmpl w:val="A8C8ABC2"/>
    <w:lvl w:ilvl="0" w:tplc="7F2631D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27864DA"/>
    <w:multiLevelType w:val="hybridMultilevel"/>
    <w:tmpl w:val="56FA1A4A"/>
    <w:lvl w:ilvl="0" w:tplc="0054D7FA">
      <w:start w:val="1"/>
      <w:numFmt w:val="decimal"/>
      <w:pStyle w:val="Figuretext"/>
      <w:lvlText w:val="Figure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5615CE"/>
    <w:multiLevelType w:val="hybridMultilevel"/>
    <w:tmpl w:val="56489C2E"/>
    <w:lvl w:ilvl="0" w:tplc="31F61204">
      <w:start w:val="1"/>
      <w:numFmt w:val="decimal"/>
      <w:lvlText w:val="Tab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2841C8"/>
    <w:multiLevelType w:val="hybridMultilevel"/>
    <w:tmpl w:val="8D5EC490"/>
    <w:lvl w:ilvl="0" w:tplc="F3B02DC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61591F"/>
    <w:multiLevelType w:val="hybridMultilevel"/>
    <w:tmpl w:val="66E6FFEC"/>
    <w:lvl w:ilvl="0" w:tplc="BAFCD026">
      <w:start w:val="1"/>
      <w:numFmt w:val="decimal"/>
      <w:pStyle w:val="Figure"/>
      <w:lvlText w:val="Figure %1."/>
      <w:lvlJc w:val="left"/>
      <w:pPr>
        <w:ind w:left="720" w:hanging="360"/>
      </w:pPr>
      <w:rPr>
        <w:rFonts w:ascii="Times New Roman" w:hAnsi="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EC41A9"/>
    <w:multiLevelType w:val="hybridMultilevel"/>
    <w:tmpl w:val="64CAFBD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4086112A"/>
    <w:multiLevelType w:val="hybridMultilevel"/>
    <w:tmpl w:val="BF5EEFD0"/>
    <w:lvl w:ilvl="0" w:tplc="7F2631D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42C36FE5"/>
    <w:multiLevelType w:val="hybridMultilevel"/>
    <w:tmpl w:val="CA5A574E"/>
    <w:lvl w:ilvl="0" w:tplc="5ED6CF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3C1480"/>
    <w:multiLevelType w:val="hybridMultilevel"/>
    <w:tmpl w:val="E660A3F2"/>
    <w:lvl w:ilvl="0" w:tplc="9C22551E">
      <w:start w:val="6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E63FF8"/>
    <w:multiLevelType w:val="hybridMultilevel"/>
    <w:tmpl w:val="739C9B50"/>
    <w:lvl w:ilvl="0" w:tplc="C93A36E6">
      <w:start w:val="1"/>
      <w:numFmt w:val="decimal"/>
      <w:pStyle w:val="Table"/>
      <w:lvlText w:val="Table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DA5BD1"/>
    <w:multiLevelType w:val="hybridMultilevel"/>
    <w:tmpl w:val="34609F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50DF5355"/>
    <w:multiLevelType w:val="hybridMultilevel"/>
    <w:tmpl w:val="45E6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790D7D"/>
    <w:multiLevelType w:val="hybridMultilevel"/>
    <w:tmpl w:val="2CF28F2E"/>
    <w:lvl w:ilvl="0" w:tplc="9A4E23FA">
      <w:start w:val="1"/>
      <w:numFmt w:val="decimal"/>
      <w:pStyle w:val="Testfig"/>
      <w:lvlText w:val="Figur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726E51"/>
    <w:multiLevelType w:val="hybridMultilevel"/>
    <w:tmpl w:val="3314DEAC"/>
    <w:lvl w:ilvl="0" w:tplc="3C5642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1D0122"/>
    <w:multiLevelType w:val="hybridMultilevel"/>
    <w:tmpl w:val="46DCE1C0"/>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6305A5"/>
    <w:multiLevelType w:val="multilevel"/>
    <w:tmpl w:val="55B09B48"/>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nsid w:val="5DB6696B"/>
    <w:multiLevelType w:val="hybridMultilevel"/>
    <w:tmpl w:val="1BCCEBAC"/>
    <w:lvl w:ilvl="0" w:tplc="E3500FC0">
      <w:start w:val="1"/>
      <w:numFmt w:val="decimal"/>
      <w:pStyle w:val="Tabledelete"/>
      <w:lvlText w:val="Table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5C7F8F"/>
    <w:multiLevelType w:val="hybridMultilevel"/>
    <w:tmpl w:val="DB68DAE2"/>
    <w:lvl w:ilvl="0" w:tplc="8D2C585A">
      <w:start w:val="1"/>
      <w:numFmt w:val="decimal"/>
      <w:pStyle w:val="Referenc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A95333"/>
    <w:multiLevelType w:val="hybridMultilevel"/>
    <w:tmpl w:val="D71025A6"/>
    <w:lvl w:ilvl="0" w:tplc="DC96E4A6">
      <w:start w:val="1"/>
      <w:numFmt w:val="decimal"/>
      <w:pStyle w:val="Tabletext"/>
      <w:lvlText w:val="Table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F5E2717"/>
    <w:multiLevelType w:val="hybridMultilevel"/>
    <w:tmpl w:val="BD74C1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70327C57"/>
    <w:multiLevelType w:val="hybridMultilevel"/>
    <w:tmpl w:val="7F0A17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74663773"/>
    <w:multiLevelType w:val="multilevel"/>
    <w:tmpl w:val="E5A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BA17C9"/>
    <w:multiLevelType w:val="hybridMultilevel"/>
    <w:tmpl w:val="D5E2C8B4"/>
    <w:lvl w:ilvl="0" w:tplc="08090001">
      <w:start w:val="1"/>
      <w:numFmt w:val="bullet"/>
      <w:lvlText w:val=""/>
      <w:lvlJc w:val="left"/>
      <w:pPr>
        <w:ind w:left="720" w:hanging="360"/>
      </w:pPr>
      <w:rPr>
        <w:rFonts w:ascii="Symbol" w:hAnsi="Symbol" w:hint="default"/>
      </w:rPr>
    </w:lvl>
    <w:lvl w:ilvl="1" w:tplc="57B2C412">
      <w:numFmt w:val="bullet"/>
      <w:lvlText w:val="•"/>
      <w:lvlJc w:val="left"/>
      <w:pPr>
        <w:ind w:left="2385" w:hanging="1305"/>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A25D77"/>
    <w:multiLevelType w:val="hybridMultilevel"/>
    <w:tmpl w:val="ACE4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4D0D60"/>
    <w:multiLevelType w:val="hybridMultilevel"/>
    <w:tmpl w:val="7F64A506"/>
    <w:lvl w:ilvl="0" w:tplc="528AEC2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9"/>
  </w:num>
  <w:num w:numId="2">
    <w:abstractNumId w:val="2"/>
  </w:num>
  <w:num w:numId="3">
    <w:abstractNumId w:val="4"/>
  </w:num>
  <w:num w:numId="4">
    <w:abstractNumId w:val="17"/>
  </w:num>
  <w:num w:numId="5">
    <w:abstractNumId w:val="3"/>
  </w:num>
  <w:num w:numId="6">
    <w:abstractNumId w:val="23"/>
  </w:num>
  <w:num w:numId="7">
    <w:abstractNumId w:val="13"/>
  </w:num>
  <w:num w:numId="8">
    <w:abstractNumId w:val="24"/>
  </w:num>
  <w:num w:numId="9">
    <w:abstractNumId w:val="7"/>
  </w:num>
  <w:num w:numId="10">
    <w:abstractNumId w:val="30"/>
  </w:num>
  <w:num w:numId="11">
    <w:abstractNumId w:val="9"/>
  </w:num>
  <w:num w:numId="12">
    <w:abstractNumId w:val="28"/>
  </w:num>
  <w:num w:numId="13">
    <w:abstractNumId w:val="1"/>
  </w:num>
  <w:num w:numId="14">
    <w:abstractNumId w:val="16"/>
  </w:num>
  <w:num w:numId="15">
    <w:abstractNumId w:val="26"/>
  </w:num>
  <w:num w:numId="16">
    <w:abstractNumId w:val="5"/>
  </w:num>
  <w:num w:numId="17">
    <w:abstractNumId w:val="6"/>
  </w:num>
  <w:num w:numId="18">
    <w:abstractNumId w:val="25"/>
  </w:num>
  <w:num w:numId="19">
    <w:abstractNumId w:val="0"/>
  </w:num>
  <w:num w:numId="20">
    <w:abstractNumId w:val="27"/>
  </w:num>
  <w:num w:numId="21">
    <w:abstractNumId w:val="12"/>
  </w:num>
  <w:num w:numId="22">
    <w:abstractNumId w:val="19"/>
  </w:num>
  <w:num w:numId="23">
    <w:abstractNumId w:val="21"/>
  </w:num>
  <w:num w:numId="24">
    <w:abstractNumId w:val="20"/>
  </w:num>
  <w:num w:numId="25">
    <w:abstractNumId w:val="11"/>
  </w:num>
  <w:num w:numId="26">
    <w:abstractNumId w:val="14"/>
  </w:num>
  <w:num w:numId="27">
    <w:abstractNumId w:val="18"/>
  </w:num>
  <w:num w:numId="28">
    <w:abstractNumId w:val="10"/>
  </w:num>
  <w:num w:numId="29">
    <w:abstractNumId w:val="22"/>
  </w:num>
  <w:num w:numId="30">
    <w:abstractNumId w:val="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A0"/>
    <w:rsid w:val="000010DF"/>
    <w:rsid w:val="00011A6E"/>
    <w:rsid w:val="00026158"/>
    <w:rsid w:val="00037B01"/>
    <w:rsid w:val="000504C6"/>
    <w:rsid w:val="0005089D"/>
    <w:rsid w:val="00054B8D"/>
    <w:rsid w:val="00061888"/>
    <w:rsid w:val="0006732A"/>
    <w:rsid w:val="000742FB"/>
    <w:rsid w:val="00074564"/>
    <w:rsid w:val="000764F7"/>
    <w:rsid w:val="00076BA8"/>
    <w:rsid w:val="00080784"/>
    <w:rsid w:val="00080937"/>
    <w:rsid w:val="00081145"/>
    <w:rsid w:val="000879A7"/>
    <w:rsid w:val="00087C61"/>
    <w:rsid w:val="00090A3F"/>
    <w:rsid w:val="000A6B09"/>
    <w:rsid w:val="000A7A80"/>
    <w:rsid w:val="000B2009"/>
    <w:rsid w:val="000B432A"/>
    <w:rsid w:val="000B5707"/>
    <w:rsid w:val="000C16DA"/>
    <w:rsid w:val="000C3FA0"/>
    <w:rsid w:val="000C428D"/>
    <w:rsid w:val="000D3902"/>
    <w:rsid w:val="000D55D4"/>
    <w:rsid w:val="000D6E77"/>
    <w:rsid w:val="000F24A4"/>
    <w:rsid w:val="00102CF8"/>
    <w:rsid w:val="001231AF"/>
    <w:rsid w:val="00124F66"/>
    <w:rsid w:val="00126CA1"/>
    <w:rsid w:val="00127D32"/>
    <w:rsid w:val="0013186F"/>
    <w:rsid w:val="00132E8B"/>
    <w:rsid w:val="00140A8E"/>
    <w:rsid w:val="00144C41"/>
    <w:rsid w:val="00151446"/>
    <w:rsid w:val="00153131"/>
    <w:rsid w:val="0015771E"/>
    <w:rsid w:val="001614B5"/>
    <w:rsid w:val="001662B9"/>
    <w:rsid w:val="00171AA1"/>
    <w:rsid w:val="00172E4B"/>
    <w:rsid w:val="00176C43"/>
    <w:rsid w:val="00182B4F"/>
    <w:rsid w:val="00193A68"/>
    <w:rsid w:val="001941B7"/>
    <w:rsid w:val="001957F0"/>
    <w:rsid w:val="001A09BF"/>
    <w:rsid w:val="001A172B"/>
    <w:rsid w:val="001A478F"/>
    <w:rsid w:val="001A5421"/>
    <w:rsid w:val="001A6603"/>
    <w:rsid w:val="001B502F"/>
    <w:rsid w:val="001B6203"/>
    <w:rsid w:val="001B7F09"/>
    <w:rsid w:val="001C0A00"/>
    <w:rsid w:val="001C2F6B"/>
    <w:rsid w:val="001C5C28"/>
    <w:rsid w:val="001C73D3"/>
    <w:rsid w:val="001E20E3"/>
    <w:rsid w:val="001E2405"/>
    <w:rsid w:val="001E2F0D"/>
    <w:rsid w:val="001F3CC3"/>
    <w:rsid w:val="001F4998"/>
    <w:rsid w:val="00200EDB"/>
    <w:rsid w:val="002043D1"/>
    <w:rsid w:val="00210B5F"/>
    <w:rsid w:val="0021729D"/>
    <w:rsid w:val="0022201E"/>
    <w:rsid w:val="002342EF"/>
    <w:rsid w:val="002401A0"/>
    <w:rsid w:val="002521BF"/>
    <w:rsid w:val="00254B53"/>
    <w:rsid w:val="00263FD1"/>
    <w:rsid w:val="00274E2B"/>
    <w:rsid w:val="0028288E"/>
    <w:rsid w:val="00284A2E"/>
    <w:rsid w:val="00291D95"/>
    <w:rsid w:val="002938CD"/>
    <w:rsid w:val="002A2674"/>
    <w:rsid w:val="002D1445"/>
    <w:rsid w:val="002D35F0"/>
    <w:rsid w:val="002D67BA"/>
    <w:rsid w:val="002F514C"/>
    <w:rsid w:val="002F5A5F"/>
    <w:rsid w:val="002F5F41"/>
    <w:rsid w:val="0030093B"/>
    <w:rsid w:val="0030408E"/>
    <w:rsid w:val="00307C45"/>
    <w:rsid w:val="00322C76"/>
    <w:rsid w:val="00324752"/>
    <w:rsid w:val="003248A5"/>
    <w:rsid w:val="00325540"/>
    <w:rsid w:val="003260C0"/>
    <w:rsid w:val="00327C26"/>
    <w:rsid w:val="00327C56"/>
    <w:rsid w:val="003348ED"/>
    <w:rsid w:val="0033582A"/>
    <w:rsid w:val="003414F2"/>
    <w:rsid w:val="003421E1"/>
    <w:rsid w:val="003502A5"/>
    <w:rsid w:val="0036098D"/>
    <w:rsid w:val="00360C88"/>
    <w:rsid w:val="003622B0"/>
    <w:rsid w:val="0036266D"/>
    <w:rsid w:val="00373106"/>
    <w:rsid w:val="003761B8"/>
    <w:rsid w:val="00390604"/>
    <w:rsid w:val="00392B68"/>
    <w:rsid w:val="00397158"/>
    <w:rsid w:val="003A6AE1"/>
    <w:rsid w:val="003B3CF8"/>
    <w:rsid w:val="003C1300"/>
    <w:rsid w:val="003C229C"/>
    <w:rsid w:val="003C2B8D"/>
    <w:rsid w:val="003D0C92"/>
    <w:rsid w:val="003E75C9"/>
    <w:rsid w:val="003F08A1"/>
    <w:rsid w:val="003F2229"/>
    <w:rsid w:val="00401650"/>
    <w:rsid w:val="00407FA2"/>
    <w:rsid w:val="0042185B"/>
    <w:rsid w:val="00424BBD"/>
    <w:rsid w:val="004273E3"/>
    <w:rsid w:val="00437610"/>
    <w:rsid w:val="00440205"/>
    <w:rsid w:val="004414AA"/>
    <w:rsid w:val="004429CB"/>
    <w:rsid w:val="00450477"/>
    <w:rsid w:val="00452490"/>
    <w:rsid w:val="004546A3"/>
    <w:rsid w:val="00460FF8"/>
    <w:rsid w:val="0046698D"/>
    <w:rsid w:val="00467B38"/>
    <w:rsid w:val="00470924"/>
    <w:rsid w:val="00472CDB"/>
    <w:rsid w:val="004751BC"/>
    <w:rsid w:val="00483AA0"/>
    <w:rsid w:val="004840FE"/>
    <w:rsid w:val="004843DB"/>
    <w:rsid w:val="00487BCE"/>
    <w:rsid w:val="004A32E3"/>
    <w:rsid w:val="004A3413"/>
    <w:rsid w:val="004A5997"/>
    <w:rsid w:val="004B3164"/>
    <w:rsid w:val="004B7919"/>
    <w:rsid w:val="004C0221"/>
    <w:rsid w:val="004C34FE"/>
    <w:rsid w:val="004D0022"/>
    <w:rsid w:val="004D4369"/>
    <w:rsid w:val="004D4FA2"/>
    <w:rsid w:val="004E138E"/>
    <w:rsid w:val="004E2E6C"/>
    <w:rsid w:val="004F699F"/>
    <w:rsid w:val="00502EBF"/>
    <w:rsid w:val="00505203"/>
    <w:rsid w:val="00505E5A"/>
    <w:rsid w:val="00510048"/>
    <w:rsid w:val="0051723E"/>
    <w:rsid w:val="005238A0"/>
    <w:rsid w:val="005305FF"/>
    <w:rsid w:val="005313FB"/>
    <w:rsid w:val="00535539"/>
    <w:rsid w:val="005359CE"/>
    <w:rsid w:val="00536390"/>
    <w:rsid w:val="005406AA"/>
    <w:rsid w:val="00544365"/>
    <w:rsid w:val="00551008"/>
    <w:rsid w:val="005526E9"/>
    <w:rsid w:val="0055391C"/>
    <w:rsid w:val="00553999"/>
    <w:rsid w:val="00555F04"/>
    <w:rsid w:val="00560D1D"/>
    <w:rsid w:val="0056585B"/>
    <w:rsid w:val="00565B90"/>
    <w:rsid w:val="00574842"/>
    <w:rsid w:val="00584CEF"/>
    <w:rsid w:val="005956E3"/>
    <w:rsid w:val="005966BE"/>
    <w:rsid w:val="005A685E"/>
    <w:rsid w:val="005A7CEE"/>
    <w:rsid w:val="005C5BB3"/>
    <w:rsid w:val="005D021F"/>
    <w:rsid w:val="005D06EA"/>
    <w:rsid w:val="005D3C89"/>
    <w:rsid w:val="005D4272"/>
    <w:rsid w:val="005E0470"/>
    <w:rsid w:val="005E6E91"/>
    <w:rsid w:val="005F3AD8"/>
    <w:rsid w:val="005F499F"/>
    <w:rsid w:val="00603937"/>
    <w:rsid w:val="0060396C"/>
    <w:rsid w:val="006040A2"/>
    <w:rsid w:val="00610639"/>
    <w:rsid w:val="006110C0"/>
    <w:rsid w:val="0061228E"/>
    <w:rsid w:val="00614650"/>
    <w:rsid w:val="0061469D"/>
    <w:rsid w:val="00615276"/>
    <w:rsid w:val="006212B4"/>
    <w:rsid w:val="00622C60"/>
    <w:rsid w:val="00631192"/>
    <w:rsid w:val="00632F69"/>
    <w:rsid w:val="00635B43"/>
    <w:rsid w:val="006376F7"/>
    <w:rsid w:val="006400ED"/>
    <w:rsid w:val="006462D2"/>
    <w:rsid w:val="006500A0"/>
    <w:rsid w:val="006532CE"/>
    <w:rsid w:val="0065459F"/>
    <w:rsid w:val="00655492"/>
    <w:rsid w:val="006600AF"/>
    <w:rsid w:val="006717D4"/>
    <w:rsid w:val="006A012F"/>
    <w:rsid w:val="006A0C76"/>
    <w:rsid w:val="006A2829"/>
    <w:rsid w:val="006A5AE8"/>
    <w:rsid w:val="006B1949"/>
    <w:rsid w:val="006B3726"/>
    <w:rsid w:val="006B72F3"/>
    <w:rsid w:val="006C2592"/>
    <w:rsid w:val="006C3267"/>
    <w:rsid w:val="006D23CC"/>
    <w:rsid w:val="006D2FDD"/>
    <w:rsid w:val="006E1258"/>
    <w:rsid w:val="006E6EDB"/>
    <w:rsid w:val="006E72DA"/>
    <w:rsid w:val="006F5275"/>
    <w:rsid w:val="00700716"/>
    <w:rsid w:val="00703CCC"/>
    <w:rsid w:val="0071078D"/>
    <w:rsid w:val="00712701"/>
    <w:rsid w:val="00716A77"/>
    <w:rsid w:val="00720119"/>
    <w:rsid w:val="00720DF9"/>
    <w:rsid w:val="0072685F"/>
    <w:rsid w:val="00750636"/>
    <w:rsid w:val="0075151D"/>
    <w:rsid w:val="0077473F"/>
    <w:rsid w:val="00780E4D"/>
    <w:rsid w:val="007918DF"/>
    <w:rsid w:val="0079192A"/>
    <w:rsid w:val="0079449F"/>
    <w:rsid w:val="007A3E04"/>
    <w:rsid w:val="007A6DDA"/>
    <w:rsid w:val="007A780E"/>
    <w:rsid w:val="007B25BB"/>
    <w:rsid w:val="007B3B86"/>
    <w:rsid w:val="007C1BE7"/>
    <w:rsid w:val="007C21B1"/>
    <w:rsid w:val="007D3A5A"/>
    <w:rsid w:val="007D58B8"/>
    <w:rsid w:val="007D7D8D"/>
    <w:rsid w:val="007E128B"/>
    <w:rsid w:val="007E1A6E"/>
    <w:rsid w:val="007E4217"/>
    <w:rsid w:val="007F4BAC"/>
    <w:rsid w:val="00812F35"/>
    <w:rsid w:val="008169F3"/>
    <w:rsid w:val="00840FFF"/>
    <w:rsid w:val="0087052B"/>
    <w:rsid w:val="00877975"/>
    <w:rsid w:val="00883D6F"/>
    <w:rsid w:val="00884954"/>
    <w:rsid w:val="008942E2"/>
    <w:rsid w:val="00895B63"/>
    <w:rsid w:val="008C357F"/>
    <w:rsid w:val="008D2988"/>
    <w:rsid w:val="008D5C74"/>
    <w:rsid w:val="008D7A6A"/>
    <w:rsid w:val="008E489B"/>
    <w:rsid w:val="009122E7"/>
    <w:rsid w:val="00914312"/>
    <w:rsid w:val="00915A59"/>
    <w:rsid w:val="00920D33"/>
    <w:rsid w:val="00921514"/>
    <w:rsid w:val="00927A2B"/>
    <w:rsid w:val="00941442"/>
    <w:rsid w:val="00946513"/>
    <w:rsid w:val="0095538E"/>
    <w:rsid w:val="00963D35"/>
    <w:rsid w:val="00964AAA"/>
    <w:rsid w:val="0098225A"/>
    <w:rsid w:val="009878DF"/>
    <w:rsid w:val="00990874"/>
    <w:rsid w:val="00993858"/>
    <w:rsid w:val="0099557A"/>
    <w:rsid w:val="009A5E37"/>
    <w:rsid w:val="009A6929"/>
    <w:rsid w:val="009B3515"/>
    <w:rsid w:val="009B3FA5"/>
    <w:rsid w:val="009C2C09"/>
    <w:rsid w:val="009C358F"/>
    <w:rsid w:val="009C3643"/>
    <w:rsid w:val="009D3810"/>
    <w:rsid w:val="009D5BFB"/>
    <w:rsid w:val="009E5B17"/>
    <w:rsid w:val="009F03B5"/>
    <w:rsid w:val="009F0F1B"/>
    <w:rsid w:val="00A02C44"/>
    <w:rsid w:val="00A06BC5"/>
    <w:rsid w:val="00A13D52"/>
    <w:rsid w:val="00A25C4E"/>
    <w:rsid w:val="00A32030"/>
    <w:rsid w:val="00A33CC5"/>
    <w:rsid w:val="00A423D0"/>
    <w:rsid w:val="00A424EA"/>
    <w:rsid w:val="00A45FC7"/>
    <w:rsid w:val="00A52E20"/>
    <w:rsid w:val="00A52E8A"/>
    <w:rsid w:val="00A548D7"/>
    <w:rsid w:val="00A62DBA"/>
    <w:rsid w:val="00A64941"/>
    <w:rsid w:val="00A70C6B"/>
    <w:rsid w:val="00A72D15"/>
    <w:rsid w:val="00A7712E"/>
    <w:rsid w:val="00A9146E"/>
    <w:rsid w:val="00A95870"/>
    <w:rsid w:val="00AA0A3E"/>
    <w:rsid w:val="00AA40F7"/>
    <w:rsid w:val="00AA4B63"/>
    <w:rsid w:val="00AB0512"/>
    <w:rsid w:val="00AB1BA4"/>
    <w:rsid w:val="00AC6EF0"/>
    <w:rsid w:val="00AD090B"/>
    <w:rsid w:val="00AE212B"/>
    <w:rsid w:val="00AE22EC"/>
    <w:rsid w:val="00AE4E72"/>
    <w:rsid w:val="00AF1D69"/>
    <w:rsid w:val="00AF7523"/>
    <w:rsid w:val="00B02F3C"/>
    <w:rsid w:val="00B22453"/>
    <w:rsid w:val="00B37C2D"/>
    <w:rsid w:val="00B37E7E"/>
    <w:rsid w:val="00B40879"/>
    <w:rsid w:val="00B4353F"/>
    <w:rsid w:val="00B44399"/>
    <w:rsid w:val="00B446F8"/>
    <w:rsid w:val="00B54B9F"/>
    <w:rsid w:val="00B628C8"/>
    <w:rsid w:val="00B6312A"/>
    <w:rsid w:val="00B66ECB"/>
    <w:rsid w:val="00B71177"/>
    <w:rsid w:val="00B96368"/>
    <w:rsid w:val="00BA65D6"/>
    <w:rsid w:val="00BA6DCB"/>
    <w:rsid w:val="00BB1C18"/>
    <w:rsid w:val="00BB32BD"/>
    <w:rsid w:val="00BB50AA"/>
    <w:rsid w:val="00BB6082"/>
    <w:rsid w:val="00BC2665"/>
    <w:rsid w:val="00BC3441"/>
    <w:rsid w:val="00BC61D6"/>
    <w:rsid w:val="00BC6C60"/>
    <w:rsid w:val="00BD3267"/>
    <w:rsid w:val="00BD38E9"/>
    <w:rsid w:val="00BF45A3"/>
    <w:rsid w:val="00BF498A"/>
    <w:rsid w:val="00C000E1"/>
    <w:rsid w:val="00C039FC"/>
    <w:rsid w:val="00C06D4F"/>
    <w:rsid w:val="00C1250D"/>
    <w:rsid w:val="00C13EA7"/>
    <w:rsid w:val="00C162A5"/>
    <w:rsid w:val="00C16881"/>
    <w:rsid w:val="00C21670"/>
    <w:rsid w:val="00C22C3B"/>
    <w:rsid w:val="00C275ED"/>
    <w:rsid w:val="00C30666"/>
    <w:rsid w:val="00C31412"/>
    <w:rsid w:val="00C40B35"/>
    <w:rsid w:val="00C41E50"/>
    <w:rsid w:val="00C462F2"/>
    <w:rsid w:val="00C4765B"/>
    <w:rsid w:val="00C578A8"/>
    <w:rsid w:val="00C642A2"/>
    <w:rsid w:val="00C6520A"/>
    <w:rsid w:val="00C710D5"/>
    <w:rsid w:val="00C75CAC"/>
    <w:rsid w:val="00C8170C"/>
    <w:rsid w:val="00C837DD"/>
    <w:rsid w:val="00C8491C"/>
    <w:rsid w:val="00C95E2F"/>
    <w:rsid w:val="00CA29F6"/>
    <w:rsid w:val="00CA61A1"/>
    <w:rsid w:val="00CB3A54"/>
    <w:rsid w:val="00CC47EA"/>
    <w:rsid w:val="00CE69FB"/>
    <w:rsid w:val="00D0214F"/>
    <w:rsid w:val="00D06EAA"/>
    <w:rsid w:val="00D11023"/>
    <w:rsid w:val="00D140F3"/>
    <w:rsid w:val="00D203D4"/>
    <w:rsid w:val="00D23FC0"/>
    <w:rsid w:val="00D24EE5"/>
    <w:rsid w:val="00D3485E"/>
    <w:rsid w:val="00D36313"/>
    <w:rsid w:val="00D523A6"/>
    <w:rsid w:val="00D561F5"/>
    <w:rsid w:val="00D56648"/>
    <w:rsid w:val="00D635BD"/>
    <w:rsid w:val="00D71C4B"/>
    <w:rsid w:val="00D908A6"/>
    <w:rsid w:val="00DA54F6"/>
    <w:rsid w:val="00DA796A"/>
    <w:rsid w:val="00DB3554"/>
    <w:rsid w:val="00DC1833"/>
    <w:rsid w:val="00DD2AF9"/>
    <w:rsid w:val="00DD6B65"/>
    <w:rsid w:val="00DE1621"/>
    <w:rsid w:val="00E021C5"/>
    <w:rsid w:val="00E038BC"/>
    <w:rsid w:val="00E22F43"/>
    <w:rsid w:val="00E238D5"/>
    <w:rsid w:val="00E3177A"/>
    <w:rsid w:val="00E36647"/>
    <w:rsid w:val="00E36CD8"/>
    <w:rsid w:val="00E43425"/>
    <w:rsid w:val="00E54C52"/>
    <w:rsid w:val="00E55D78"/>
    <w:rsid w:val="00E57C5F"/>
    <w:rsid w:val="00E63EF5"/>
    <w:rsid w:val="00E66CAF"/>
    <w:rsid w:val="00E6720D"/>
    <w:rsid w:val="00E6727B"/>
    <w:rsid w:val="00E70D54"/>
    <w:rsid w:val="00E74D78"/>
    <w:rsid w:val="00E821DF"/>
    <w:rsid w:val="00E87C69"/>
    <w:rsid w:val="00E967F8"/>
    <w:rsid w:val="00EA0EF8"/>
    <w:rsid w:val="00EA1837"/>
    <w:rsid w:val="00EA2C21"/>
    <w:rsid w:val="00EB2BBD"/>
    <w:rsid w:val="00EB4273"/>
    <w:rsid w:val="00EC291E"/>
    <w:rsid w:val="00ED5339"/>
    <w:rsid w:val="00ED6DF1"/>
    <w:rsid w:val="00ED71B7"/>
    <w:rsid w:val="00ED7278"/>
    <w:rsid w:val="00ED7DF2"/>
    <w:rsid w:val="00EE4A62"/>
    <w:rsid w:val="00EE681B"/>
    <w:rsid w:val="00EF3ECE"/>
    <w:rsid w:val="00F00B64"/>
    <w:rsid w:val="00F04AB2"/>
    <w:rsid w:val="00F05782"/>
    <w:rsid w:val="00F05CAD"/>
    <w:rsid w:val="00F12C8F"/>
    <w:rsid w:val="00F14203"/>
    <w:rsid w:val="00F142A0"/>
    <w:rsid w:val="00F25D02"/>
    <w:rsid w:val="00F32272"/>
    <w:rsid w:val="00F348A2"/>
    <w:rsid w:val="00F40135"/>
    <w:rsid w:val="00F42CCC"/>
    <w:rsid w:val="00F42E9F"/>
    <w:rsid w:val="00F43BE1"/>
    <w:rsid w:val="00F5030B"/>
    <w:rsid w:val="00F555AF"/>
    <w:rsid w:val="00F56862"/>
    <w:rsid w:val="00F64561"/>
    <w:rsid w:val="00F656A9"/>
    <w:rsid w:val="00F70489"/>
    <w:rsid w:val="00F72139"/>
    <w:rsid w:val="00F81571"/>
    <w:rsid w:val="00F81FDB"/>
    <w:rsid w:val="00F84FA0"/>
    <w:rsid w:val="00F8679C"/>
    <w:rsid w:val="00FA2804"/>
    <w:rsid w:val="00FB1685"/>
    <w:rsid w:val="00FB2215"/>
    <w:rsid w:val="00FB70BA"/>
    <w:rsid w:val="00FC08FA"/>
    <w:rsid w:val="00FC76D6"/>
    <w:rsid w:val="00FE4266"/>
    <w:rsid w:val="00FE72C1"/>
    <w:rsid w:val="00FF399B"/>
    <w:rsid w:val="00FF53AB"/>
    <w:rsid w:val="00FF63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8EAB12-84FF-4D8E-8ADD-47C77925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autoRedefine/>
    <w:uiPriority w:val="9"/>
    <w:qFormat/>
    <w:rsid w:val="0036266D"/>
    <w:pPr>
      <w:keepNext/>
      <w:keepLines/>
      <w:numPr>
        <w:numId w:val="23"/>
      </w:numPr>
      <w:tabs>
        <w:tab w:val="left" w:pos="567"/>
      </w:tabs>
      <w:spacing w:before="240" w:after="0"/>
      <w:outlineLvl w:val="0"/>
    </w:pPr>
    <w:rPr>
      <w:rFonts w:ascii="Times New Roman" w:eastAsiaTheme="majorEastAsia" w:hAnsi="Times New Roman" w:cstheme="majorBidi"/>
      <w:smallCaps/>
      <w:color w:val="000000" w:themeColor="text1"/>
      <w:sz w:val="40"/>
      <w:szCs w:val="32"/>
    </w:rPr>
  </w:style>
  <w:style w:type="paragraph" w:styleId="Heading2">
    <w:name w:val="heading 2"/>
    <w:basedOn w:val="Normal"/>
    <w:next w:val="Normal"/>
    <w:link w:val="Heading2Char"/>
    <w:autoRedefine/>
    <w:uiPriority w:val="9"/>
    <w:unhideWhenUsed/>
    <w:qFormat/>
    <w:rsid w:val="009D5BFB"/>
    <w:pPr>
      <w:keepNext/>
      <w:keepLines/>
      <w:numPr>
        <w:ilvl w:val="1"/>
        <w:numId w:val="23"/>
      </w:numPr>
      <w:tabs>
        <w:tab w:val="left" w:pos="567"/>
      </w:tabs>
      <w:spacing w:before="120" w:after="0"/>
      <w:outlineLvl w:val="1"/>
    </w:pPr>
    <w:rPr>
      <w:rFonts w:ascii="Times New Roman" w:eastAsiaTheme="majorEastAsia" w:hAnsi="Times New Roman" w:cstheme="majorBidi"/>
      <w:caps/>
      <w:color w:val="000000" w:themeColor="text1"/>
      <w:sz w:val="28"/>
      <w:szCs w:val="26"/>
      <w:lang w:val="en-GB"/>
    </w:rPr>
  </w:style>
  <w:style w:type="paragraph" w:styleId="Heading3">
    <w:name w:val="heading 3"/>
    <w:basedOn w:val="Normal"/>
    <w:next w:val="Normal"/>
    <w:link w:val="Heading3Char"/>
    <w:autoRedefine/>
    <w:uiPriority w:val="9"/>
    <w:unhideWhenUsed/>
    <w:qFormat/>
    <w:rsid w:val="006A012F"/>
    <w:pPr>
      <w:keepNext/>
      <w:keepLines/>
      <w:numPr>
        <w:ilvl w:val="2"/>
        <w:numId w:val="23"/>
      </w:numPr>
      <w:tabs>
        <w:tab w:val="left" w:pos="851"/>
      </w:tabs>
      <w:spacing w:before="120" w:after="0"/>
      <w:outlineLvl w:val="2"/>
    </w:pPr>
    <w:rPr>
      <w:rFonts w:ascii="Arial" w:eastAsiaTheme="majorEastAsia" w:hAnsi="Arial" w:cstheme="majorBidi"/>
      <w:smallCaps/>
      <w:color w:val="000000" w:themeColor="text1"/>
      <w:sz w:val="26"/>
      <w:szCs w:val="24"/>
      <w:lang w:val="en-GB"/>
    </w:rPr>
  </w:style>
  <w:style w:type="paragraph" w:styleId="Heading4">
    <w:name w:val="heading 4"/>
    <w:basedOn w:val="Normal"/>
    <w:next w:val="Normal"/>
    <w:link w:val="Heading4Char"/>
    <w:autoRedefine/>
    <w:uiPriority w:val="9"/>
    <w:unhideWhenUsed/>
    <w:qFormat/>
    <w:rsid w:val="003248A5"/>
    <w:pPr>
      <w:keepNext/>
      <w:keepLines/>
      <w:numPr>
        <w:ilvl w:val="3"/>
        <w:numId w:val="23"/>
      </w:numPr>
      <w:tabs>
        <w:tab w:val="left" w:pos="851"/>
      </w:tabs>
      <w:spacing w:before="40" w:after="0"/>
      <w:outlineLvl w:val="3"/>
    </w:pPr>
    <w:rPr>
      <w:rFonts w:ascii="Times New Roman" w:eastAsiaTheme="majorEastAsia" w:hAnsi="Times New Roman" w:cstheme="majorBidi"/>
      <w:i/>
      <w:iCs/>
      <w:smallCaps/>
      <w:sz w:val="24"/>
    </w:rPr>
  </w:style>
  <w:style w:type="paragraph" w:styleId="Heading5">
    <w:name w:val="heading 5"/>
    <w:basedOn w:val="Normal"/>
    <w:next w:val="Normal"/>
    <w:link w:val="Heading5Char"/>
    <w:autoRedefine/>
    <w:uiPriority w:val="9"/>
    <w:unhideWhenUsed/>
    <w:qFormat/>
    <w:rsid w:val="003248A5"/>
    <w:pPr>
      <w:keepNext/>
      <w:keepLines/>
      <w:numPr>
        <w:ilvl w:val="4"/>
        <w:numId w:val="23"/>
      </w:numPr>
      <w:tabs>
        <w:tab w:val="left" w:pos="1134"/>
      </w:tabs>
      <w:spacing w:before="40" w:after="0"/>
      <w:outlineLvl w:val="4"/>
    </w:pPr>
    <w:rPr>
      <w:rFonts w:ascii="Times New Roman" w:eastAsiaTheme="majorEastAsia" w:hAnsi="Times New Roman" w:cstheme="majorBidi"/>
      <w:b/>
      <w:i/>
      <w:sz w:val="24"/>
    </w:rPr>
  </w:style>
  <w:style w:type="paragraph" w:styleId="Heading6">
    <w:name w:val="heading 6"/>
    <w:basedOn w:val="Normal"/>
    <w:next w:val="Normal"/>
    <w:link w:val="Heading6Char"/>
    <w:uiPriority w:val="9"/>
    <w:semiHidden/>
    <w:unhideWhenUsed/>
    <w:qFormat/>
    <w:rsid w:val="006A5AE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D3902"/>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3902"/>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D3902"/>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0048"/>
    <w:pPr>
      <w:ind w:left="720"/>
      <w:contextualSpacing/>
    </w:pPr>
  </w:style>
  <w:style w:type="character" w:styleId="Hyperlink">
    <w:name w:val="Hyperlink"/>
    <w:basedOn w:val="DefaultParagraphFont"/>
    <w:uiPriority w:val="99"/>
    <w:unhideWhenUsed/>
    <w:rsid w:val="004843DB"/>
    <w:rPr>
      <w:color w:val="0563C1" w:themeColor="hyperlink"/>
      <w:u w:val="single"/>
    </w:rPr>
  </w:style>
  <w:style w:type="paragraph" w:customStyle="1" w:styleId="References">
    <w:name w:val="References"/>
    <w:basedOn w:val="ListParagraph"/>
    <w:link w:val="ReferencesChar"/>
    <w:qFormat/>
    <w:rsid w:val="004843DB"/>
    <w:pPr>
      <w:numPr>
        <w:numId w:val="6"/>
      </w:numPr>
      <w:ind w:left="709" w:hanging="709"/>
    </w:pPr>
    <w:rPr>
      <w:rFonts w:ascii="Times New Roman" w:hAnsi="Times New Roman"/>
      <w:sz w:val="24"/>
      <w:lang w:val="en-GB"/>
    </w:rPr>
  </w:style>
  <w:style w:type="paragraph" w:customStyle="1" w:styleId="Tabletext">
    <w:name w:val="Table text"/>
    <w:basedOn w:val="Normal"/>
    <w:link w:val="TabletextChar"/>
    <w:autoRedefine/>
    <w:rsid w:val="00F142A0"/>
    <w:pPr>
      <w:numPr>
        <w:numId w:val="8"/>
      </w:numPr>
      <w:spacing w:after="120" w:line="240" w:lineRule="auto"/>
      <w:ind w:left="851" w:hanging="851"/>
    </w:pPr>
    <w:rPr>
      <w:rFonts w:ascii="Times New Roman" w:hAnsi="Times New Roman"/>
      <w:lang w:val="en-GB"/>
    </w:rPr>
  </w:style>
  <w:style w:type="character" w:customStyle="1" w:styleId="ListParagraphChar">
    <w:name w:val="List Paragraph Char"/>
    <w:basedOn w:val="DefaultParagraphFont"/>
    <w:link w:val="ListParagraph"/>
    <w:uiPriority w:val="34"/>
    <w:rsid w:val="004843DB"/>
  </w:style>
  <w:style w:type="character" w:customStyle="1" w:styleId="ReferencesChar">
    <w:name w:val="References Char"/>
    <w:basedOn w:val="ListParagraphChar"/>
    <w:link w:val="References"/>
    <w:rsid w:val="004843DB"/>
    <w:rPr>
      <w:rFonts w:ascii="Times New Roman" w:hAnsi="Times New Roman"/>
      <w:sz w:val="24"/>
      <w:lang w:val="en-GB"/>
    </w:rPr>
  </w:style>
  <w:style w:type="table" w:styleId="TableGrid">
    <w:name w:val="Table Grid"/>
    <w:basedOn w:val="TableNormal"/>
    <w:uiPriority w:val="59"/>
    <w:rsid w:val="00982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 text Char"/>
    <w:basedOn w:val="DefaultParagraphFont"/>
    <w:link w:val="Tabletext"/>
    <w:rsid w:val="00F142A0"/>
    <w:rPr>
      <w:rFonts w:ascii="Times New Roman" w:hAnsi="Times New Roman"/>
      <w:lang w:val="en-GB"/>
    </w:rPr>
  </w:style>
  <w:style w:type="table" w:styleId="PlainTable3">
    <w:name w:val="Plain Table 3"/>
    <w:basedOn w:val="TableNormal"/>
    <w:uiPriority w:val="43"/>
    <w:rsid w:val="009F0F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EF3EC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link w:val="BodyChar"/>
    <w:qFormat/>
    <w:rsid w:val="009122E7"/>
    <w:pPr>
      <w:spacing w:line="360" w:lineRule="auto"/>
    </w:pPr>
    <w:rPr>
      <w:rFonts w:ascii="Times New Roman" w:hAnsi="Times New Roman"/>
      <w:sz w:val="24"/>
      <w:lang w:val="en-GB"/>
    </w:rPr>
  </w:style>
  <w:style w:type="character" w:customStyle="1" w:styleId="Heading1Char">
    <w:name w:val="Heading 1 Char"/>
    <w:basedOn w:val="DefaultParagraphFont"/>
    <w:link w:val="Heading1"/>
    <w:uiPriority w:val="9"/>
    <w:rsid w:val="0036266D"/>
    <w:rPr>
      <w:rFonts w:ascii="Times New Roman" w:eastAsiaTheme="majorEastAsia" w:hAnsi="Times New Roman" w:cstheme="majorBidi"/>
      <w:smallCaps/>
      <w:color w:val="000000" w:themeColor="text1"/>
      <w:sz w:val="40"/>
      <w:szCs w:val="32"/>
    </w:rPr>
  </w:style>
  <w:style w:type="character" w:customStyle="1" w:styleId="BodyChar">
    <w:name w:val="Body Char"/>
    <w:basedOn w:val="DefaultParagraphFont"/>
    <w:link w:val="Body"/>
    <w:rsid w:val="009122E7"/>
    <w:rPr>
      <w:rFonts w:ascii="Times New Roman" w:hAnsi="Times New Roman"/>
      <w:sz w:val="24"/>
      <w:lang w:val="en-GB"/>
    </w:rPr>
  </w:style>
  <w:style w:type="character" w:customStyle="1" w:styleId="Heading2Char">
    <w:name w:val="Heading 2 Char"/>
    <w:basedOn w:val="DefaultParagraphFont"/>
    <w:link w:val="Heading2"/>
    <w:uiPriority w:val="9"/>
    <w:rsid w:val="009D5BFB"/>
    <w:rPr>
      <w:rFonts w:ascii="Times New Roman" w:eastAsiaTheme="majorEastAsia" w:hAnsi="Times New Roman" w:cstheme="majorBidi"/>
      <w:caps/>
      <w:color w:val="000000" w:themeColor="text1"/>
      <w:sz w:val="28"/>
      <w:szCs w:val="26"/>
      <w:lang w:val="en-GB"/>
    </w:rPr>
  </w:style>
  <w:style w:type="character" w:customStyle="1" w:styleId="Heading3Char">
    <w:name w:val="Heading 3 Char"/>
    <w:basedOn w:val="DefaultParagraphFont"/>
    <w:link w:val="Heading3"/>
    <w:uiPriority w:val="9"/>
    <w:rsid w:val="006A012F"/>
    <w:rPr>
      <w:rFonts w:ascii="Arial" w:eastAsiaTheme="majorEastAsia" w:hAnsi="Arial" w:cstheme="majorBidi"/>
      <w:smallCaps/>
      <w:color w:val="000000" w:themeColor="text1"/>
      <w:sz w:val="26"/>
      <w:szCs w:val="24"/>
      <w:lang w:val="en-GB"/>
    </w:rPr>
  </w:style>
  <w:style w:type="paragraph" w:customStyle="1" w:styleId="Figuretext">
    <w:name w:val="Figure text"/>
    <w:basedOn w:val="Body"/>
    <w:link w:val="FiguretextChar"/>
    <w:autoRedefine/>
    <w:rsid w:val="001A478F"/>
    <w:pPr>
      <w:numPr>
        <w:numId w:val="9"/>
      </w:numPr>
      <w:spacing w:before="40" w:after="200" w:line="240" w:lineRule="auto"/>
      <w:ind w:left="851" w:hanging="851"/>
    </w:pPr>
    <w:rPr>
      <w:color w:val="000000" w:themeColor="text1"/>
      <w:sz w:val="22"/>
    </w:rPr>
  </w:style>
  <w:style w:type="paragraph" w:customStyle="1" w:styleId="FigureSet">
    <w:name w:val="FigureSet"/>
    <w:basedOn w:val="Body"/>
    <w:link w:val="FigureSetChar"/>
    <w:qFormat/>
    <w:rsid w:val="001A478F"/>
    <w:pPr>
      <w:spacing w:after="0" w:line="240" w:lineRule="auto"/>
    </w:pPr>
  </w:style>
  <w:style w:type="character" w:customStyle="1" w:styleId="FiguretextChar">
    <w:name w:val="Figure text Char"/>
    <w:basedOn w:val="BodyChar"/>
    <w:link w:val="Figuretext"/>
    <w:rsid w:val="001A478F"/>
    <w:rPr>
      <w:rFonts w:ascii="Times New Roman" w:hAnsi="Times New Roman"/>
      <w:color w:val="000000" w:themeColor="text1"/>
      <w:sz w:val="24"/>
      <w:lang w:val="en-GB"/>
    </w:rPr>
  </w:style>
  <w:style w:type="character" w:customStyle="1" w:styleId="FigureSetChar">
    <w:name w:val="FigureSet Char"/>
    <w:basedOn w:val="BodyChar"/>
    <w:link w:val="FigureSet"/>
    <w:rsid w:val="001A478F"/>
    <w:rPr>
      <w:rFonts w:ascii="Times New Roman" w:hAnsi="Times New Roman"/>
      <w:sz w:val="24"/>
      <w:lang w:val="en-GB"/>
    </w:rPr>
  </w:style>
  <w:style w:type="table" w:styleId="PlainTable2">
    <w:name w:val="Plain Table 2"/>
    <w:basedOn w:val="TableNormal"/>
    <w:uiPriority w:val="42"/>
    <w:rsid w:val="0075151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rsid w:val="003248A5"/>
    <w:rPr>
      <w:rFonts w:ascii="Times New Roman" w:eastAsiaTheme="majorEastAsia" w:hAnsi="Times New Roman" w:cstheme="majorBidi"/>
      <w:b/>
      <w:i/>
      <w:sz w:val="24"/>
    </w:rPr>
  </w:style>
  <w:style w:type="character" w:customStyle="1" w:styleId="Heading6Char">
    <w:name w:val="Heading 6 Char"/>
    <w:basedOn w:val="DefaultParagraphFont"/>
    <w:link w:val="Heading6"/>
    <w:uiPriority w:val="9"/>
    <w:semiHidden/>
    <w:rsid w:val="006A5AE8"/>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3248A5"/>
    <w:rPr>
      <w:rFonts w:ascii="Times New Roman" w:eastAsiaTheme="majorEastAsia" w:hAnsi="Times New Roman" w:cstheme="majorBidi"/>
      <w:i/>
      <w:iCs/>
      <w:smallCaps/>
      <w:sz w:val="24"/>
    </w:rPr>
  </w:style>
  <w:style w:type="character" w:customStyle="1" w:styleId="Heading7Char">
    <w:name w:val="Heading 7 Char"/>
    <w:basedOn w:val="DefaultParagraphFont"/>
    <w:link w:val="Heading7"/>
    <w:uiPriority w:val="9"/>
    <w:semiHidden/>
    <w:rsid w:val="000D39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390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D3902"/>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0D3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902"/>
    <w:rPr>
      <w:rFonts w:ascii="Tahoma" w:hAnsi="Tahoma" w:cs="Tahoma"/>
      <w:sz w:val="16"/>
      <w:szCs w:val="16"/>
    </w:rPr>
  </w:style>
  <w:style w:type="paragraph" w:customStyle="1" w:styleId="Default">
    <w:name w:val="Default"/>
    <w:rsid w:val="000D3902"/>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link w:val="CaptionChar"/>
    <w:uiPriority w:val="35"/>
    <w:unhideWhenUsed/>
    <w:qFormat/>
    <w:rsid w:val="000D3902"/>
    <w:pPr>
      <w:spacing w:after="200" w:line="240" w:lineRule="auto"/>
    </w:pPr>
    <w:rPr>
      <w:rFonts w:ascii="Calibri" w:eastAsia="Calibri" w:hAnsi="Calibri" w:cs="Times New Roman"/>
      <w:b/>
      <w:bCs/>
      <w:color w:val="4F81BD"/>
      <w:sz w:val="18"/>
      <w:szCs w:val="18"/>
      <w:lang w:val="en-GB"/>
    </w:rPr>
  </w:style>
  <w:style w:type="character" w:styleId="PlaceholderText">
    <w:name w:val="Placeholder Text"/>
    <w:basedOn w:val="DefaultParagraphFont"/>
    <w:uiPriority w:val="99"/>
    <w:semiHidden/>
    <w:rsid w:val="000D3902"/>
    <w:rPr>
      <w:color w:val="808080"/>
    </w:rPr>
  </w:style>
  <w:style w:type="character" w:customStyle="1" w:styleId="apple-converted-space">
    <w:name w:val="apple-converted-space"/>
    <w:basedOn w:val="DefaultParagraphFont"/>
    <w:rsid w:val="000D3902"/>
  </w:style>
  <w:style w:type="character" w:styleId="Strong">
    <w:name w:val="Strong"/>
    <w:basedOn w:val="DefaultParagraphFont"/>
    <w:uiPriority w:val="22"/>
    <w:qFormat/>
    <w:rsid w:val="000D3902"/>
    <w:rPr>
      <w:b/>
      <w:bCs/>
    </w:rPr>
  </w:style>
  <w:style w:type="paragraph" w:styleId="NormalWeb">
    <w:name w:val="Normal (Web)"/>
    <w:basedOn w:val="Normal"/>
    <w:uiPriority w:val="99"/>
    <w:semiHidden/>
    <w:unhideWhenUsed/>
    <w:rsid w:val="000D390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Emphasis">
    <w:name w:val="Emphasis"/>
    <w:basedOn w:val="DefaultParagraphFont"/>
    <w:uiPriority w:val="20"/>
    <w:qFormat/>
    <w:rsid w:val="000D3902"/>
    <w:rPr>
      <w:i/>
      <w:iCs/>
    </w:rPr>
  </w:style>
  <w:style w:type="paragraph" w:styleId="TOCHeading">
    <w:name w:val="TOC Heading"/>
    <w:basedOn w:val="Heading1"/>
    <w:next w:val="Normal"/>
    <w:uiPriority w:val="39"/>
    <w:unhideWhenUsed/>
    <w:qFormat/>
    <w:rsid w:val="000D3902"/>
    <w:pPr>
      <w:spacing w:before="480" w:line="276" w:lineRule="auto"/>
      <w:outlineLvl w:val="9"/>
    </w:pPr>
    <w:rPr>
      <w:rFonts w:asciiTheme="majorHAnsi" w:hAnsiTheme="majorHAnsi"/>
      <w:b/>
      <w:bCs/>
      <w:smallCaps w:val="0"/>
      <w:color w:val="2E74B5" w:themeColor="accent1" w:themeShade="BF"/>
      <w:sz w:val="28"/>
      <w:szCs w:val="28"/>
      <w:lang w:val="en-US" w:eastAsia="ja-JP"/>
    </w:rPr>
  </w:style>
  <w:style w:type="paragraph" w:styleId="TOC1">
    <w:name w:val="toc 1"/>
    <w:basedOn w:val="Normal"/>
    <w:next w:val="Normal"/>
    <w:autoRedefine/>
    <w:uiPriority w:val="39"/>
    <w:unhideWhenUsed/>
    <w:rsid w:val="00CE69FB"/>
    <w:pPr>
      <w:spacing w:after="100" w:line="276" w:lineRule="auto"/>
    </w:pPr>
    <w:rPr>
      <w:rFonts w:ascii="Times New Roman" w:hAnsi="Times New Roman"/>
    </w:rPr>
  </w:style>
  <w:style w:type="paragraph" w:styleId="TOC2">
    <w:name w:val="toc 2"/>
    <w:basedOn w:val="Normal"/>
    <w:next w:val="Normal"/>
    <w:autoRedefine/>
    <w:uiPriority w:val="39"/>
    <w:unhideWhenUsed/>
    <w:rsid w:val="00CE69FB"/>
    <w:pPr>
      <w:spacing w:after="100" w:line="276" w:lineRule="auto"/>
      <w:ind w:left="220"/>
    </w:pPr>
    <w:rPr>
      <w:rFonts w:ascii="Times New Roman" w:hAnsi="Times New Roman"/>
    </w:rPr>
  </w:style>
  <w:style w:type="paragraph" w:styleId="TOC3">
    <w:name w:val="toc 3"/>
    <w:basedOn w:val="Normal"/>
    <w:next w:val="Normal"/>
    <w:autoRedefine/>
    <w:uiPriority w:val="39"/>
    <w:unhideWhenUsed/>
    <w:rsid w:val="00CE69FB"/>
    <w:pPr>
      <w:spacing w:after="100" w:line="276" w:lineRule="auto"/>
      <w:ind w:left="440"/>
    </w:pPr>
    <w:rPr>
      <w:rFonts w:ascii="Times New Roman" w:hAnsi="Times New Roman"/>
    </w:rPr>
  </w:style>
  <w:style w:type="paragraph" w:styleId="TableofFigures">
    <w:name w:val="table of figures"/>
    <w:basedOn w:val="Normal"/>
    <w:next w:val="Normal"/>
    <w:uiPriority w:val="99"/>
    <w:unhideWhenUsed/>
    <w:rsid w:val="000D3902"/>
    <w:pPr>
      <w:spacing w:after="0" w:line="276" w:lineRule="auto"/>
    </w:pPr>
  </w:style>
  <w:style w:type="paragraph" w:styleId="Header">
    <w:name w:val="header"/>
    <w:basedOn w:val="Normal"/>
    <w:link w:val="HeaderChar"/>
    <w:uiPriority w:val="99"/>
    <w:unhideWhenUsed/>
    <w:rsid w:val="000D39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3902"/>
  </w:style>
  <w:style w:type="paragraph" w:styleId="Footer">
    <w:name w:val="footer"/>
    <w:basedOn w:val="Normal"/>
    <w:link w:val="FooterChar"/>
    <w:uiPriority w:val="99"/>
    <w:unhideWhenUsed/>
    <w:rsid w:val="000D39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3902"/>
  </w:style>
  <w:style w:type="paragraph" w:customStyle="1" w:styleId="Equation">
    <w:name w:val="Equation"/>
    <w:basedOn w:val="Normal"/>
    <w:link w:val="EquationChar"/>
    <w:qFormat/>
    <w:rsid w:val="000D3902"/>
    <w:pPr>
      <w:spacing w:after="120"/>
    </w:pPr>
    <w:rPr>
      <w:rFonts w:ascii="Times New Roman" w:eastAsiaTheme="minorEastAsia" w:hAnsi="Times New Roman" w:cs="Arial"/>
      <w:sz w:val="20"/>
      <w:lang w:val="en-US"/>
    </w:rPr>
  </w:style>
  <w:style w:type="paragraph" w:customStyle="1" w:styleId="TableSet">
    <w:name w:val="TableSet"/>
    <w:basedOn w:val="Caption"/>
    <w:link w:val="TableSetChar"/>
    <w:autoRedefine/>
    <w:qFormat/>
    <w:rsid w:val="00483AA0"/>
    <w:pPr>
      <w:spacing w:after="240"/>
    </w:pPr>
    <w:rPr>
      <w:rFonts w:ascii="Arial" w:hAnsi="Arial" w:cs="Arial"/>
      <w:b w:val="0"/>
      <w:color w:val="231F20"/>
      <w:sz w:val="16"/>
      <w:lang w:val="en-US"/>
    </w:rPr>
  </w:style>
  <w:style w:type="character" w:customStyle="1" w:styleId="EquationChar">
    <w:name w:val="Equation Char"/>
    <w:basedOn w:val="DefaultParagraphFont"/>
    <w:link w:val="Equation"/>
    <w:rsid w:val="000D3902"/>
    <w:rPr>
      <w:rFonts w:ascii="Times New Roman" w:eastAsiaTheme="minorEastAsia" w:hAnsi="Times New Roman" w:cs="Arial"/>
      <w:sz w:val="20"/>
      <w:lang w:val="en-US"/>
    </w:rPr>
  </w:style>
  <w:style w:type="character" w:styleId="CommentReference">
    <w:name w:val="annotation reference"/>
    <w:uiPriority w:val="99"/>
    <w:semiHidden/>
    <w:unhideWhenUsed/>
    <w:rsid w:val="004429CB"/>
    <w:rPr>
      <w:sz w:val="16"/>
      <w:szCs w:val="16"/>
    </w:rPr>
  </w:style>
  <w:style w:type="character" w:customStyle="1" w:styleId="CaptionChar">
    <w:name w:val="Caption Char"/>
    <w:basedOn w:val="DefaultParagraphFont"/>
    <w:link w:val="Caption"/>
    <w:uiPriority w:val="35"/>
    <w:rsid w:val="00087C61"/>
    <w:rPr>
      <w:rFonts w:ascii="Calibri" w:eastAsia="Calibri" w:hAnsi="Calibri" w:cs="Times New Roman"/>
      <w:b/>
      <w:bCs/>
      <w:color w:val="4F81BD"/>
      <w:sz w:val="18"/>
      <w:szCs w:val="18"/>
      <w:lang w:val="en-GB"/>
    </w:rPr>
  </w:style>
  <w:style w:type="character" w:customStyle="1" w:styleId="TableSetChar">
    <w:name w:val="TableSet Char"/>
    <w:basedOn w:val="CaptionChar"/>
    <w:link w:val="TableSet"/>
    <w:rsid w:val="00483AA0"/>
    <w:rPr>
      <w:rFonts w:ascii="Arial" w:eastAsia="Calibri" w:hAnsi="Arial" w:cs="Arial"/>
      <w:b w:val="0"/>
      <w:bCs/>
      <w:color w:val="231F20"/>
      <w:sz w:val="16"/>
      <w:szCs w:val="18"/>
      <w:lang w:val="en-US"/>
    </w:rPr>
  </w:style>
  <w:style w:type="paragraph" w:styleId="CommentText">
    <w:name w:val="annotation text"/>
    <w:basedOn w:val="Normal"/>
    <w:link w:val="CommentTextChar"/>
    <w:uiPriority w:val="99"/>
    <w:semiHidden/>
    <w:unhideWhenUsed/>
    <w:rsid w:val="004429CB"/>
    <w:pPr>
      <w:spacing w:after="200" w:line="276" w:lineRule="auto"/>
    </w:pPr>
    <w:rPr>
      <w:rFonts w:ascii="Calibri" w:eastAsia="Times New Roman" w:hAnsi="Calibri" w:cs="Cordia New"/>
      <w:sz w:val="20"/>
      <w:szCs w:val="25"/>
      <w:lang w:val="en-US" w:eastAsia="sv-SE" w:bidi="th-TH"/>
    </w:rPr>
  </w:style>
  <w:style w:type="character" w:customStyle="1" w:styleId="CommentTextChar">
    <w:name w:val="Comment Text Char"/>
    <w:basedOn w:val="DefaultParagraphFont"/>
    <w:link w:val="CommentText"/>
    <w:uiPriority w:val="99"/>
    <w:semiHidden/>
    <w:rsid w:val="004429CB"/>
    <w:rPr>
      <w:rFonts w:ascii="Calibri" w:eastAsia="Times New Roman" w:hAnsi="Calibri" w:cs="Cordia New"/>
      <w:sz w:val="20"/>
      <w:szCs w:val="25"/>
      <w:lang w:val="en-US" w:eastAsia="sv-SE" w:bidi="th-TH"/>
    </w:rPr>
  </w:style>
  <w:style w:type="character" w:styleId="FollowedHyperlink">
    <w:name w:val="FollowedHyperlink"/>
    <w:basedOn w:val="DefaultParagraphFont"/>
    <w:uiPriority w:val="99"/>
    <w:semiHidden/>
    <w:unhideWhenUsed/>
    <w:rsid w:val="004D4369"/>
    <w:rPr>
      <w:color w:val="954F72" w:themeColor="followedHyperlink"/>
      <w:u w:val="single"/>
    </w:rPr>
  </w:style>
  <w:style w:type="table" w:styleId="PlainTable4">
    <w:name w:val="Plain Table 4"/>
    <w:basedOn w:val="TableNormal"/>
    <w:uiPriority w:val="44"/>
    <w:rsid w:val="0051723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723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51723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
    <w:name w:val="List Table 6 Colorful"/>
    <w:basedOn w:val="TableNormal"/>
    <w:uiPriority w:val="51"/>
    <w:rsid w:val="0051723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fig">
    <w:name w:val="Test_fig"/>
    <w:basedOn w:val="Body"/>
    <w:link w:val="TestfigChar"/>
    <w:rsid w:val="005359CE"/>
    <w:pPr>
      <w:numPr>
        <w:numId w:val="27"/>
      </w:numPr>
    </w:pPr>
    <w:rPr>
      <w:lang w:val="en-US"/>
    </w:rPr>
  </w:style>
  <w:style w:type="paragraph" w:customStyle="1" w:styleId="Figure">
    <w:name w:val="Figure"/>
    <w:basedOn w:val="Body"/>
    <w:link w:val="FigureChar"/>
    <w:autoRedefine/>
    <w:qFormat/>
    <w:rsid w:val="00127D32"/>
    <w:pPr>
      <w:numPr>
        <w:numId w:val="28"/>
      </w:numPr>
      <w:tabs>
        <w:tab w:val="left" w:pos="964"/>
      </w:tabs>
      <w:spacing w:after="200" w:line="288" w:lineRule="auto"/>
      <w:ind w:left="964" w:hanging="964"/>
    </w:pPr>
    <w:rPr>
      <w:sz w:val="22"/>
    </w:rPr>
  </w:style>
  <w:style w:type="character" w:customStyle="1" w:styleId="TestfigChar">
    <w:name w:val="Test_fig Char"/>
    <w:basedOn w:val="BodyChar"/>
    <w:link w:val="Testfig"/>
    <w:rsid w:val="005359CE"/>
    <w:rPr>
      <w:rFonts w:ascii="Times New Roman" w:hAnsi="Times New Roman"/>
      <w:sz w:val="24"/>
      <w:lang w:val="en-US"/>
    </w:rPr>
  </w:style>
  <w:style w:type="paragraph" w:customStyle="1" w:styleId="Tabledelete">
    <w:name w:val="Table_delete"/>
    <w:basedOn w:val="Figure"/>
    <w:link w:val="TabledeleteChar"/>
    <w:autoRedefine/>
    <w:rsid w:val="00B37C2D"/>
    <w:pPr>
      <w:numPr>
        <w:numId w:val="29"/>
      </w:numPr>
      <w:spacing w:after="0"/>
      <w:ind w:left="964" w:hanging="964"/>
    </w:pPr>
    <w:rPr>
      <w:rFonts w:cs="Arial"/>
    </w:rPr>
  </w:style>
  <w:style w:type="character" w:customStyle="1" w:styleId="FigureChar">
    <w:name w:val="Figure Char"/>
    <w:basedOn w:val="BodyChar"/>
    <w:link w:val="Figure"/>
    <w:rsid w:val="00127D32"/>
    <w:rPr>
      <w:rFonts w:ascii="Times New Roman" w:hAnsi="Times New Roman"/>
      <w:sz w:val="24"/>
      <w:lang w:val="en-GB"/>
    </w:rPr>
  </w:style>
  <w:style w:type="character" w:customStyle="1" w:styleId="TabledeleteChar">
    <w:name w:val="Table_delete Char"/>
    <w:basedOn w:val="FigureChar"/>
    <w:link w:val="Tabledelete"/>
    <w:rsid w:val="00B37C2D"/>
    <w:rPr>
      <w:rFonts w:ascii="Times New Roman" w:hAnsi="Times New Roman" w:cs="Arial"/>
      <w:sz w:val="24"/>
      <w:lang w:val="en-GB"/>
    </w:rPr>
  </w:style>
  <w:style w:type="paragraph" w:customStyle="1" w:styleId="Table">
    <w:name w:val="Table"/>
    <w:basedOn w:val="Body"/>
    <w:link w:val="TableChar"/>
    <w:autoRedefine/>
    <w:qFormat/>
    <w:rsid w:val="00F42CCC"/>
    <w:pPr>
      <w:numPr>
        <w:numId w:val="31"/>
      </w:numPr>
      <w:tabs>
        <w:tab w:val="left" w:pos="964"/>
      </w:tabs>
      <w:spacing w:after="0" w:line="240" w:lineRule="auto"/>
      <w:ind w:left="964" w:hanging="964"/>
    </w:pPr>
    <w:rPr>
      <w:sz w:val="22"/>
    </w:rPr>
  </w:style>
  <w:style w:type="character" w:customStyle="1" w:styleId="TableChar">
    <w:name w:val="Table Char"/>
    <w:basedOn w:val="BodyChar"/>
    <w:link w:val="Table"/>
    <w:rsid w:val="00F42CCC"/>
    <w:rPr>
      <w:rFonts w:ascii="Times New Roman" w:hAnsi="Times New Roman"/>
      <w:sz w:val="24"/>
      <w:lang w:val="en-GB"/>
    </w:rPr>
  </w:style>
  <w:style w:type="paragraph" w:styleId="FootnoteText">
    <w:name w:val="footnote text"/>
    <w:basedOn w:val="Normal"/>
    <w:link w:val="FootnoteTextChar"/>
    <w:uiPriority w:val="99"/>
    <w:semiHidden/>
    <w:unhideWhenUsed/>
    <w:rsid w:val="007A78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80E"/>
    <w:rPr>
      <w:sz w:val="20"/>
      <w:szCs w:val="20"/>
    </w:rPr>
  </w:style>
  <w:style w:type="character" w:styleId="FootnoteReference">
    <w:name w:val="footnote reference"/>
    <w:basedOn w:val="DefaultParagraphFont"/>
    <w:uiPriority w:val="99"/>
    <w:semiHidden/>
    <w:unhideWhenUsed/>
    <w:rsid w:val="007A78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2534">
      <w:bodyDiv w:val="1"/>
      <w:marLeft w:val="0"/>
      <w:marRight w:val="0"/>
      <w:marTop w:val="0"/>
      <w:marBottom w:val="0"/>
      <w:divBdr>
        <w:top w:val="none" w:sz="0" w:space="0" w:color="auto"/>
        <w:left w:val="none" w:sz="0" w:space="0" w:color="auto"/>
        <w:bottom w:val="none" w:sz="0" w:space="0" w:color="auto"/>
        <w:right w:val="none" w:sz="0" w:space="0" w:color="auto"/>
      </w:divBdr>
    </w:div>
    <w:div w:id="20098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D150DC-0E52-4F6B-AADB-8D5A0777A2C4}">
  <we:reference id="wa102920437" version="1.3.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B1FB-39A7-48ED-B1EB-071F426C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22</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MDH</Company>
  <LinksUpToDate>false</LinksUpToDate>
  <CharactersWithSpaces>18493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Wallin</dc:creator>
  <cp:keywords/>
  <dc:description/>
  <cp:lastModifiedBy>Fredrik Wallin</cp:lastModifiedBy>
  <cp:revision>10</cp:revision>
  <cp:lastPrinted>2014-05-14T13:44:00Z</cp:lastPrinted>
  <dcterms:created xsi:type="dcterms:W3CDTF">2014-06-10T21:14:00Z</dcterms:created>
  <dcterms:modified xsi:type="dcterms:W3CDTF">2014-06-11T02:07:00Z</dcterms:modified>
</cp:coreProperties>
</file>