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9EF" w:rsidRDefault="00BA29EF">
      <w:bookmarkStart w:id="0" w:name="_GoBack"/>
      <w:bookmarkEnd w:id="0"/>
      <w:r>
        <w:t>Projekt Möllebäcken.</w:t>
      </w:r>
    </w:p>
    <w:p w:rsidR="00BA29EF" w:rsidRDefault="00BA29EF"/>
    <w:p w:rsidR="00BA29EF" w:rsidRDefault="00BA29EF"/>
    <w:p w:rsidR="00BA29EF" w:rsidRDefault="00BA29EF">
      <w:r>
        <w:t>Möllebäcken, ett biflöde till Vegeå har sedan 1700 talet haft s</w:t>
      </w:r>
      <w:r w:rsidR="00FD7D79">
        <w:t>pärrad fiskpassage pågrund av</w:t>
      </w:r>
      <w:r>
        <w:t xml:space="preserve"> en kvarndamm som ligger placerad ca 150 m upp i bäcken från huvudfåran.</w:t>
      </w:r>
    </w:p>
    <w:p w:rsidR="00BA29EF" w:rsidRDefault="00BA29EF">
      <w:r>
        <w:t xml:space="preserve">Detta vertikala fall på drygt två meter spärrade vägen för all vattenburen fauna. </w:t>
      </w:r>
      <w:r w:rsidR="00C504D4">
        <w:t xml:space="preserve">Sen sommarn 2013 så kom en lösning på plats som alla var nöjda med. </w:t>
      </w:r>
      <w:r>
        <w:t>Detta gjorde fiskvandring åter möjlig i bäcken.</w:t>
      </w:r>
      <w:r w:rsidR="00FD7D79">
        <w:t xml:space="preserve"> Redan samma höst så noterades lekande storöringar i bäcken.</w:t>
      </w:r>
    </w:p>
    <w:p w:rsidR="00BA29EF" w:rsidRDefault="00BA29EF">
      <w:r>
        <w:t>Bäcken rinner genom det lilla samhället Billesholm och i tätortsområdet så finns det fint fall på bäcken.</w:t>
      </w:r>
    </w:p>
    <w:p w:rsidR="00BA29EF" w:rsidRDefault="00BA29EF">
      <w:r>
        <w:t>Precis som i många andra fall så har bäcken blivit omgrävd och i vis mån även flyttad för att göra plats för bebyggelse. För att återställa ett så naturligt utseende och funktion på bäcken så tillfördes block och i vis mån mindre sten. Detta för att kompensera det som grävts bort/rensats in till sidan vid omgrävning.</w:t>
      </w:r>
    </w:p>
    <w:p w:rsidR="00BA29EF" w:rsidRDefault="00BA29EF"/>
    <w:p w:rsidR="00BA29EF" w:rsidRDefault="00BA29EF">
      <w:r>
        <w:t>Eftersom bäcken inte haft fri vandringsväg från havet tidigare så har inte bäcken inv</w:t>
      </w:r>
      <w:r w:rsidR="00FD7D79">
        <w:t>enterats på vandringshinder. M</w:t>
      </w:r>
      <w:r>
        <w:t>itt på sträckan så låg en dåligt placerad kulvert under en större landsväg. Landsvä</w:t>
      </w:r>
      <w:r w:rsidR="00FD7D79">
        <w:t>gen har trafikverket ansvar för. D</w:t>
      </w:r>
      <w:r>
        <w:t xml:space="preserve">etta resulterade i att trafikverket var med och finansierade fiskväg i anslutning till kulverten. Nu är det fri passage i Möllebäckens huvudfåra hela vägen upp till källflödena. I ett av biflödena så ställer dock två kulvertar stopp för vandringen. </w:t>
      </w:r>
    </w:p>
    <w:p w:rsidR="00BA29EF" w:rsidRDefault="00BA29EF">
      <w:r>
        <w:t xml:space="preserve">Redan första hösten så sågs vandringsfisk stå och ”stampa” vid dessa kulvertar. </w:t>
      </w:r>
      <w:r w:rsidR="00BC5A77">
        <w:t xml:space="preserve">Fisken kom inte förbi. </w:t>
      </w:r>
      <w:r>
        <w:t>Så dessa</w:t>
      </w:r>
      <w:r w:rsidR="00BC5A77">
        <w:t xml:space="preserve"> vandringshinder</w:t>
      </w:r>
      <w:r>
        <w:t xml:space="preserve"> hoppas vi kunna åtgärda så fort so</w:t>
      </w:r>
      <w:r w:rsidR="00FD7D79">
        <w:t>m möjligt. Ett framtida projekt som</w:t>
      </w:r>
      <w:r w:rsidR="00BC5A77">
        <w:t xml:space="preserve"> vi</w:t>
      </w:r>
      <w:r w:rsidR="00FD7D79">
        <w:t xml:space="preserve"> hoppas kunna genomföra</w:t>
      </w:r>
      <w:r w:rsidR="00BC5A77">
        <w:t xml:space="preserve"> i år</w:t>
      </w:r>
      <w:r w:rsidR="00FD7D79">
        <w:t>.</w:t>
      </w:r>
    </w:p>
    <w:p w:rsidR="00BA29EF" w:rsidRDefault="00BA29EF"/>
    <w:p w:rsidR="00C504D4" w:rsidRDefault="00BA29EF">
      <w:r>
        <w:t>Resultaten av provfisken har varit över all förväntan. Mycket fisk och i väldigt god kondition visar att strömvattenmiljön fungerar tillfredställande. Allt från bottenfauna till predatorer.</w:t>
      </w:r>
    </w:p>
    <w:p w:rsidR="00C504D4" w:rsidRDefault="00C504D4"/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Billesholm GC-bron 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0+ 240/100 m2 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1+ 27/100 m2  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proofErr w:type="spellStart"/>
      <w:r>
        <w:rPr>
          <w:rFonts w:ascii="Helvetica" w:hAnsi="Helvetica" w:cs="Helvetica"/>
          <w:color w:val="10121B"/>
          <w:sz w:val="28"/>
          <w:szCs w:val="28"/>
        </w:rPr>
        <w:t>Tot</w:t>
      </w:r>
      <w:proofErr w:type="spellEnd"/>
      <w:r>
        <w:rPr>
          <w:rFonts w:ascii="Helvetica" w:hAnsi="Helvetica" w:cs="Helvetica"/>
          <w:color w:val="10121B"/>
          <w:sz w:val="28"/>
          <w:szCs w:val="28"/>
        </w:rPr>
        <w:t>: 267st per 100m2  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Upp skridskobanan 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0+ 62/100 m2 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1+ 36/100 m2  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proofErr w:type="spellStart"/>
      <w:r>
        <w:rPr>
          <w:rFonts w:ascii="Helvetica" w:hAnsi="Helvetica" w:cs="Helvetica"/>
          <w:color w:val="10121B"/>
          <w:sz w:val="28"/>
          <w:szCs w:val="28"/>
        </w:rPr>
        <w:t>Tot</w:t>
      </w:r>
      <w:proofErr w:type="spellEnd"/>
      <w:r>
        <w:rPr>
          <w:rFonts w:ascii="Helvetica" w:hAnsi="Helvetica" w:cs="Helvetica"/>
          <w:color w:val="10121B"/>
          <w:sz w:val="28"/>
          <w:szCs w:val="28"/>
        </w:rPr>
        <w:t xml:space="preserve"> 98st per 100m2, typ 80st bättre än förväntat, då detta är första året.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</w:p>
    <w:p w:rsidR="00C504D4" w:rsidRDefault="00FD7D79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Historik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 xml:space="preserve">Arbetet kom till skott på initiativ av </w:t>
      </w:r>
      <w:proofErr w:type="spellStart"/>
      <w:r>
        <w:rPr>
          <w:rFonts w:ascii="Helvetica" w:hAnsi="Helvetica" w:cs="Helvetica"/>
          <w:color w:val="10121B"/>
          <w:sz w:val="28"/>
          <w:szCs w:val="28"/>
        </w:rPr>
        <w:t>Vegå</w:t>
      </w:r>
      <w:proofErr w:type="spellEnd"/>
      <w:r>
        <w:rPr>
          <w:rFonts w:ascii="Helvetica" w:hAnsi="Helvetica" w:cs="Helvetica"/>
          <w:color w:val="10121B"/>
          <w:sz w:val="28"/>
          <w:szCs w:val="28"/>
        </w:rPr>
        <w:t xml:space="preserve"> fiskevårdsområde. Fiskevårdsområdet hade pengar samlade som de fått in på kortförsäljning. De ställde frågan om vi kunde dra igång ett projekt som </w:t>
      </w:r>
      <w:r>
        <w:rPr>
          <w:rFonts w:ascii="Helvetica" w:hAnsi="Helvetica" w:cs="Helvetica"/>
          <w:color w:val="10121B"/>
          <w:sz w:val="28"/>
          <w:szCs w:val="28"/>
        </w:rPr>
        <w:lastRenderedPageBreak/>
        <w:t xml:space="preserve">spann vidare på tidigare åtgärder, dvs den fria passagen vid </w:t>
      </w:r>
      <w:proofErr w:type="spellStart"/>
      <w:r>
        <w:rPr>
          <w:rFonts w:ascii="Helvetica" w:hAnsi="Helvetica" w:cs="Helvetica"/>
          <w:color w:val="10121B"/>
          <w:sz w:val="28"/>
          <w:szCs w:val="28"/>
        </w:rPr>
        <w:t>Fälleberga</w:t>
      </w:r>
      <w:proofErr w:type="spellEnd"/>
      <w:r>
        <w:rPr>
          <w:rFonts w:ascii="Helvetica" w:hAnsi="Helvetica" w:cs="Helvetica"/>
          <w:color w:val="10121B"/>
          <w:sz w:val="28"/>
          <w:szCs w:val="28"/>
        </w:rPr>
        <w:t xml:space="preserve"> kvarn.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 xml:space="preserve">Vi inventerade behovet och tog kontakt med Jesper på </w:t>
      </w:r>
      <w:proofErr w:type="gramStart"/>
      <w:r>
        <w:rPr>
          <w:rFonts w:ascii="Helvetica" w:hAnsi="Helvetica" w:cs="Helvetica"/>
          <w:color w:val="10121B"/>
          <w:sz w:val="28"/>
          <w:szCs w:val="28"/>
        </w:rPr>
        <w:t>Naturskydds föreningen</w:t>
      </w:r>
      <w:proofErr w:type="gramEnd"/>
      <w:r>
        <w:rPr>
          <w:rFonts w:ascii="Helvetica" w:hAnsi="Helvetica" w:cs="Helvetica"/>
          <w:color w:val="10121B"/>
          <w:sz w:val="28"/>
          <w:szCs w:val="28"/>
        </w:rPr>
        <w:t xml:space="preserve">, Trafikverket, Bjuvskommun, </w:t>
      </w:r>
      <w:r w:rsidR="00FD7D79">
        <w:rPr>
          <w:rFonts w:ascii="Helvetica" w:hAnsi="Helvetica" w:cs="Helvetica"/>
          <w:color w:val="10121B"/>
          <w:sz w:val="28"/>
          <w:szCs w:val="28"/>
        </w:rPr>
        <w:t>(</w:t>
      </w:r>
      <w:r>
        <w:rPr>
          <w:rFonts w:ascii="Helvetica" w:hAnsi="Helvetica" w:cs="Helvetica"/>
          <w:color w:val="10121B"/>
          <w:sz w:val="28"/>
          <w:szCs w:val="28"/>
        </w:rPr>
        <w:t>som ägde marken</w:t>
      </w:r>
      <w:r w:rsidR="00FD7D79">
        <w:rPr>
          <w:rFonts w:ascii="Helvetica" w:hAnsi="Helvetica" w:cs="Helvetica"/>
          <w:color w:val="10121B"/>
          <w:sz w:val="28"/>
          <w:szCs w:val="28"/>
        </w:rPr>
        <w:t>)</w:t>
      </w:r>
      <w:r>
        <w:rPr>
          <w:rFonts w:ascii="Helvetica" w:hAnsi="Helvetica" w:cs="Helvetica"/>
          <w:color w:val="10121B"/>
          <w:sz w:val="28"/>
          <w:szCs w:val="28"/>
        </w:rPr>
        <w:t xml:space="preserve">, samt Länsstyrelsen i </w:t>
      </w:r>
      <w:proofErr w:type="spellStart"/>
      <w:r>
        <w:rPr>
          <w:rFonts w:ascii="Helvetica" w:hAnsi="Helvetica" w:cs="Helvetica"/>
          <w:color w:val="10121B"/>
          <w:sz w:val="28"/>
          <w:szCs w:val="28"/>
        </w:rPr>
        <w:t>skåne</w:t>
      </w:r>
      <w:proofErr w:type="spellEnd"/>
      <w:r>
        <w:rPr>
          <w:rFonts w:ascii="Helvetica" w:hAnsi="Helvetica" w:cs="Helvetica"/>
          <w:color w:val="10121B"/>
          <w:sz w:val="28"/>
          <w:szCs w:val="28"/>
        </w:rPr>
        <w:t xml:space="preserve"> län.</w:t>
      </w:r>
    </w:p>
    <w:p w:rsidR="00C504D4" w:rsidRDefault="00C504D4">
      <w:pPr>
        <w:rPr>
          <w:rFonts w:ascii="Helvetica" w:hAnsi="Helvetica" w:cs="Helvetica"/>
          <w:color w:val="10121B"/>
          <w:sz w:val="28"/>
          <w:szCs w:val="28"/>
        </w:rPr>
      </w:pPr>
    </w:p>
    <w:p w:rsidR="00FD7D79" w:rsidRDefault="00C504D4">
      <w:pPr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 xml:space="preserve">Naturskyddsföreningen, Trafikverket och Vegeå Fiskevårdsområde finansierade </w:t>
      </w:r>
      <w:r w:rsidR="00FD7D79">
        <w:rPr>
          <w:rFonts w:ascii="Helvetica" w:hAnsi="Helvetica" w:cs="Helvetica"/>
          <w:color w:val="10121B"/>
          <w:sz w:val="28"/>
          <w:szCs w:val="28"/>
        </w:rPr>
        <w:t>projektet.</w:t>
      </w:r>
    </w:p>
    <w:p w:rsidR="00BA29EF" w:rsidRDefault="00FD7D79">
      <w:r>
        <w:rPr>
          <w:rFonts w:ascii="Helvetica" w:hAnsi="Helvetica" w:cs="Helvetica"/>
          <w:color w:val="10121B"/>
          <w:sz w:val="28"/>
          <w:szCs w:val="28"/>
        </w:rPr>
        <w:t xml:space="preserve">Arbetet genomfördes av Naturentreprenad Syd AB </w:t>
      </w:r>
    </w:p>
    <w:p w:rsidR="00BA29EF" w:rsidRDefault="00BA29EF"/>
    <w:sectPr w:rsidR="00BA29EF" w:rsidSect="00BA29E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EF"/>
    <w:rsid w:val="006D5613"/>
    <w:rsid w:val="007521AA"/>
    <w:rsid w:val="00AA4099"/>
    <w:rsid w:val="00BA29EF"/>
    <w:rsid w:val="00BC5A77"/>
    <w:rsid w:val="00C504D4"/>
    <w:rsid w:val="00FD7D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7117C5E-B54A-4549-834E-A540B05E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3F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Lundblad</dc:creator>
  <cp:keywords/>
  <cp:lastModifiedBy>Microsoft Office User</cp:lastModifiedBy>
  <cp:revision>2</cp:revision>
  <dcterms:created xsi:type="dcterms:W3CDTF">2022-11-01T07:59:00Z</dcterms:created>
  <dcterms:modified xsi:type="dcterms:W3CDTF">2022-11-01T07:59:00Z</dcterms:modified>
</cp:coreProperties>
</file>