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580BE" w14:textId="77777777" w:rsidR="00D9117D" w:rsidRDefault="00D9117D" w:rsidP="00D9117D"/>
    <w:p w14:paraId="2C9CDFC7" w14:textId="162206D5" w:rsidR="00D9117D" w:rsidRDefault="009229F9" w:rsidP="009229F9">
      <w:pPr>
        <w:pStyle w:val="Heading1"/>
      </w:pPr>
      <w:r>
        <w:t>Casablanca - energiåtgärder i småhus</w:t>
      </w:r>
    </w:p>
    <w:p w14:paraId="633F6BF1" w14:textId="77777777" w:rsidR="009229F9" w:rsidRDefault="009229F9" w:rsidP="00D9117D">
      <w:pPr>
        <w:pStyle w:val="Default"/>
      </w:pPr>
    </w:p>
    <w:p w14:paraId="398DB8B1" w14:textId="6F33626C" w:rsidR="00D9117D" w:rsidRPr="009229F9" w:rsidRDefault="00D9117D" w:rsidP="003827CB">
      <w:pPr>
        <w:pStyle w:val="Heading2"/>
      </w:pPr>
      <w:r w:rsidRPr="009229F9">
        <w:t>Bakgrund</w:t>
      </w:r>
    </w:p>
    <w:p w14:paraId="0BF7EFEC" w14:textId="668A9DCF" w:rsidR="00DA176C" w:rsidRPr="00B31DC3" w:rsidRDefault="001755CE" w:rsidP="009229F9">
      <w:pPr>
        <w:rPr>
          <w:rFonts w:cstheme="minorHAnsi"/>
        </w:rPr>
      </w:pPr>
      <w:r w:rsidRPr="00B31DC3">
        <w:rPr>
          <w:rFonts w:cstheme="minorHAnsi"/>
        </w:rPr>
        <w:t>Både i elsystemet och i fjärrvärmesystemen är det värdefullt att minska effekttoppar när kostnaderna för produktion är höga och miljöeffekterna stora.  Elsystemet står inför utmaningen att under förbrukningstoppar hantera en ökad andel produktion från vind och sol, produktion som varierar mycket beroende på väder. I fjärrvärmesystemen är minskning av effekttoppar något som innebär att dyr spetslastproduktion kan undvikas.</w:t>
      </w:r>
    </w:p>
    <w:p w14:paraId="7F774D22" w14:textId="6ED4ECFC" w:rsidR="001755CE" w:rsidRPr="00B31DC3" w:rsidRDefault="001755CE" w:rsidP="009229F9">
      <w:pPr>
        <w:rPr>
          <w:rFonts w:cstheme="minorHAnsi"/>
        </w:rPr>
      </w:pPr>
      <w:r w:rsidRPr="00B31DC3">
        <w:rPr>
          <w:rFonts w:cstheme="minorHAnsi"/>
        </w:rPr>
        <w:t xml:space="preserve">Kvotpliktsystem för energieffektivitet, ibland kallade vita certifikatsystem, finns som ett möjligt styrmedel för energieffektivisering. Detta kan medlemsländerna implementera enligt EU:s gemensamma energieffektiviseringsdirektiv. Tanken är att marknaden effektivt ska styra vilken typ av åtgärder som genomförs och var. </w:t>
      </w:r>
    </w:p>
    <w:p w14:paraId="6A4CE2F2" w14:textId="1C57AC43" w:rsidR="001755CE" w:rsidRPr="00B31DC3" w:rsidRDefault="001755CE" w:rsidP="009229F9">
      <w:pPr>
        <w:rPr>
          <w:rFonts w:cstheme="minorHAnsi"/>
        </w:rPr>
      </w:pPr>
      <w:r w:rsidRPr="00B31DC3">
        <w:rPr>
          <w:rFonts w:cstheme="minorHAnsi"/>
        </w:rPr>
        <w:t xml:space="preserve">För att undersöka hur ett kvotpliktssystem med fokus på att minska effekttoppar </w:t>
      </w:r>
      <w:r w:rsidR="00DA176C" w:rsidRPr="00B31DC3">
        <w:rPr>
          <w:rFonts w:cstheme="minorHAnsi"/>
        </w:rPr>
        <w:t xml:space="preserve">skulle </w:t>
      </w:r>
      <w:r w:rsidRPr="00B31DC3">
        <w:rPr>
          <w:rFonts w:cstheme="minorHAnsi"/>
        </w:rPr>
        <w:t>k</w:t>
      </w:r>
      <w:r w:rsidR="00DA176C" w:rsidRPr="00B31DC3">
        <w:rPr>
          <w:rFonts w:cstheme="minorHAnsi"/>
        </w:rPr>
        <w:t xml:space="preserve">unna </w:t>
      </w:r>
      <w:r w:rsidRPr="00B31DC3">
        <w:rPr>
          <w:rFonts w:cstheme="minorHAnsi"/>
        </w:rPr>
        <w:t xml:space="preserve">utformas och praktiseras genomfördes </w:t>
      </w:r>
      <w:r w:rsidR="00DA176C" w:rsidRPr="00B31DC3">
        <w:rPr>
          <w:rFonts w:cstheme="minorHAnsi"/>
        </w:rPr>
        <w:t xml:space="preserve">mellan </w:t>
      </w:r>
      <w:r w:rsidRPr="00B31DC3">
        <w:rPr>
          <w:rFonts w:cstheme="minorHAnsi"/>
        </w:rPr>
        <w:t>2017</w:t>
      </w:r>
      <w:r w:rsidR="003827CB" w:rsidRPr="00B31DC3">
        <w:rPr>
          <w:rFonts w:cstheme="minorHAnsi"/>
        </w:rPr>
        <w:t xml:space="preserve"> </w:t>
      </w:r>
      <w:r w:rsidR="00DA176C" w:rsidRPr="00B31DC3">
        <w:rPr>
          <w:rFonts w:cstheme="minorHAnsi"/>
        </w:rPr>
        <w:t xml:space="preserve">och </w:t>
      </w:r>
      <w:r w:rsidRPr="00B31DC3">
        <w:rPr>
          <w:rFonts w:cstheme="minorHAnsi"/>
        </w:rPr>
        <w:t xml:space="preserve">2020 projektet </w:t>
      </w:r>
      <w:r w:rsidRPr="00B31DC3">
        <w:rPr>
          <w:rFonts w:cstheme="minorHAnsi"/>
          <w:i/>
          <w:iCs/>
        </w:rPr>
        <w:t>Utveckling och test av ett kvotpliktssystem med fokus på effektreduktion.</w:t>
      </w:r>
      <w:r w:rsidRPr="00B31DC3">
        <w:rPr>
          <w:rFonts w:cstheme="minorHAnsi"/>
        </w:rPr>
        <w:t xml:space="preserve"> Projekt</w:t>
      </w:r>
      <w:r w:rsidR="00DA176C" w:rsidRPr="00B31DC3">
        <w:rPr>
          <w:rFonts w:cstheme="minorHAnsi"/>
        </w:rPr>
        <w:t>et,</w:t>
      </w:r>
      <w:r w:rsidRPr="00B31DC3">
        <w:rPr>
          <w:rFonts w:cstheme="minorHAnsi"/>
        </w:rPr>
        <w:t xml:space="preserve"> som kom att kallas Casablanca, genomfördes i</w:t>
      </w:r>
      <w:r w:rsidR="00DA176C" w:rsidRPr="00B31DC3">
        <w:rPr>
          <w:rFonts w:cstheme="minorHAnsi"/>
        </w:rPr>
        <w:t xml:space="preserve"> Göteborg i </w:t>
      </w:r>
      <w:r w:rsidRPr="00B31DC3">
        <w:rPr>
          <w:rFonts w:cstheme="minorHAnsi"/>
        </w:rPr>
        <w:t xml:space="preserve">samverkan mellan Handelshögskolan vid Göteborgs universitet, Chalmers tekniska högskola, </w:t>
      </w:r>
      <w:proofErr w:type="spellStart"/>
      <w:r w:rsidRPr="00B31DC3">
        <w:rPr>
          <w:rFonts w:cstheme="minorHAnsi"/>
        </w:rPr>
        <w:t>Sustainable</w:t>
      </w:r>
      <w:proofErr w:type="spellEnd"/>
      <w:r w:rsidRPr="00B31DC3">
        <w:rPr>
          <w:rFonts w:cstheme="minorHAnsi"/>
        </w:rPr>
        <w:t xml:space="preserve"> Innovation, Göteborg Energi, Naturskyddsföreningen och </w:t>
      </w:r>
      <w:proofErr w:type="spellStart"/>
      <w:r w:rsidRPr="00B31DC3">
        <w:rPr>
          <w:rFonts w:cstheme="minorHAnsi"/>
        </w:rPr>
        <w:t>Profu</w:t>
      </w:r>
      <w:proofErr w:type="spellEnd"/>
      <w:r w:rsidRPr="00B31DC3">
        <w:rPr>
          <w:rFonts w:cstheme="minorHAnsi"/>
        </w:rPr>
        <w:t>.</w:t>
      </w:r>
      <w:r w:rsidR="00DA176C" w:rsidRPr="00B31DC3">
        <w:rPr>
          <w:rFonts w:cstheme="minorHAnsi"/>
        </w:rPr>
        <w:t xml:space="preserve"> Energimyndigheten delfinansierade projektet.  </w:t>
      </w:r>
      <w:r w:rsidRPr="00B31DC3">
        <w:rPr>
          <w:rFonts w:cstheme="minorHAnsi"/>
        </w:rPr>
        <w:t xml:space="preserve"> </w:t>
      </w:r>
    </w:p>
    <w:p w14:paraId="2E51EA06" w14:textId="24EF4ED4" w:rsidR="00DA176C" w:rsidRPr="00B31DC3" w:rsidRDefault="001755CE" w:rsidP="009229F9">
      <w:pPr>
        <w:rPr>
          <w:rFonts w:cstheme="minorHAnsi"/>
        </w:rPr>
      </w:pPr>
      <w:r w:rsidRPr="00B31DC3">
        <w:rPr>
          <w:rFonts w:cstheme="minorHAnsi"/>
        </w:rPr>
        <w:t>Projektet genomförde tre olika försök med olika målgrupper.  Först ut var ett försök inriktat mot stora bostadsbolag</w:t>
      </w:r>
      <w:r w:rsidR="00DA176C" w:rsidRPr="00B31DC3">
        <w:rPr>
          <w:rFonts w:cstheme="minorHAnsi"/>
        </w:rPr>
        <w:t xml:space="preserve"> mellan </w:t>
      </w:r>
      <w:proofErr w:type="gramStart"/>
      <w:r w:rsidR="00DA176C" w:rsidRPr="00B31DC3">
        <w:rPr>
          <w:rFonts w:cstheme="minorHAnsi"/>
        </w:rPr>
        <w:t>2017-2018</w:t>
      </w:r>
      <w:proofErr w:type="gramEnd"/>
      <w:r w:rsidRPr="00B31DC3">
        <w:rPr>
          <w:rFonts w:cstheme="minorHAnsi"/>
        </w:rPr>
        <w:t xml:space="preserve">, sedan </w:t>
      </w:r>
      <w:r w:rsidR="00DA176C" w:rsidRPr="00B31DC3">
        <w:rPr>
          <w:rFonts w:cstheme="minorHAnsi"/>
        </w:rPr>
        <w:t xml:space="preserve">följde ett försök inom gruppen </w:t>
      </w:r>
      <w:r w:rsidRPr="00B31DC3">
        <w:rPr>
          <w:rFonts w:cstheme="minorHAnsi"/>
        </w:rPr>
        <w:t>mindre privata fastighetsägare och bostadsrättsföreningar</w:t>
      </w:r>
      <w:r w:rsidR="00DA176C" w:rsidRPr="00B31DC3">
        <w:rPr>
          <w:rFonts w:cstheme="minorHAnsi"/>
        </w:rPr>
        <w:t xml:space="preserve"> mellan 2018-våren 2019</w:t>
      </w:r>
      <w:r w:rsidRPr="00B31DC3">
        <w:rPr>
          <w:rFonts w:cstheme="minorHAnsi"/>
        </w:rPr>
        <w:t>.  Kunderna som har uppfyll de krav som ställts i testet</w:t>
      </w:r>
      <w:r w:rsidR="00DA176C" w:rsidRPr="00B31DC3">
        <w:rPr>
          <w:rFonts w:cstheme="minorHAnsi"/>
        </w:rPr>
        <w:t xml:space="preserve"> </w:t>
      </w:r>
      <w:r w:rsidRPr="00B31DC3">
        <w:rPr>
          <w:rFonts w:cstheme="minorHAnsi"/>
        </w:rPr>
        <w:t>teckna</w:t>
      </w:r>
      <w:r w:rsidR="00DA176C" w:rsidRPr="00B31DC3">
        <w:rPr>
          <w:rFonts w:cstheme="minorHAnsi"/>
        </w:rPr>
        <w:t>de</w:t>
      </w:r>
      <w:r w:rsidRPr="00B31DC3">
        <w:rPr>
          <w:rFonts w:cstheme="minorHAnsi"/>
        </w:rPr>
        <w:t xml:space="preserve"> </w:t>
      </w:r>
      <w:r w:rsidR="00DA176C" w:rsidRPr="00B31DC3">
        <w:rPr>
          <w:rFonts w:cstheme="minorHAnsi"/>
        </w:rPr>
        <w:t xml:space="preserve">direkta </w:t>
      </w:r>
      <w:r w:rsidRPr="00B31DC3">
        <w:rPr>
          <w:rFonts w:cstheme="minorHAnsi"/>
        </w:rPr>
        <w:t xml:space="preserve">avtal med Naturskyddsföreningen om bidrag från energieffektiveringsfonden.  </w:t>
      </w:r>
      <w:r w:rsidR="00DA176C" w:rsidRPr="00B31DC3">
        <w:rPr>
          <w:rFonts w:cstheme="minorHAnsi"/>
        </w:rPr>
        <w:t xml:space="preserve">Det tredje försöket, </w:t>
      </w:r>
      <w:r w:rsidRPr="00B31DC3">
        <w:rPr>
          <w:rFonts w:cstheme="minorHAnsi"/>
        </w:rPr>
        <w:t>gentemot småhusägare</w:t>
      </w:r>
      <w:r w:rsidR="00DA176C" w:rsidRPr="00B31DC3">
        <w:rPr>
          <w:rFonts w:cstheme="minorHAnsi"/>
        </w:rPr>
        <w:t xml:space="preserve"> började planeras under slutet av 2019 och pågick sidan fram till projektets slut 2020.</w:t>
      </w:r>
    </w:p>
    <w:p w14:paraId="1C4F9793" w14:textId="0BAFD9A9" w:rsidR="00FC2B9E" w:rsidRPr="009229F9" w:rsidRDefault="00FC2B9E" w:rsidP="003827CB">
      <w:pPr>
        <w:pStyle w:val="Heading2"/>
      </w:pPr>
      <w:r w:rsidRPr="009229F9">
        <w:t>Småhusstudien</w:t>
      </w:r>
    </w:p>
    <w:p w14:paraId="48F0C05A" w14:textId="6607D3E5" w:rsidR="00FC2B9E" w:rsidRPr="00B31DC3" w:rsidRDefault="00DA176C" w:rsidP="009229F9">
      <w:pPr>
        <w:rPr>
          <w:rFonts w:cstheme="minorHAnsi"/>
        </w:rPr>
      </w:pPr>
      <w:r w:rsidRPr="00B31DC3">
        <w:rPr>
          <w:rFonts w:cstheme="minorHAnsi"/>
        </w:rPr>
        <w:t>Studien innebar att s</w:t>
      </w:r>
      <w:r w:rsidR="001755CE" w:rsidRPr="00B31DC3">
        <w:rPr>
          <w:rFonts w:cstheme="minorHAnsi"/>
        </w:rPr>
        <w:t xml:space="preserve">måhusägare </w:t>
      </w:r>
      <w:r w:rsidRPr="00B31DC3">
        <w:rPr>
          <w:rFonts w:cstheme="minorHAnsi"/>
        </w:rPr>
        <w:t xml:space="preserve">fick </w:t>
      </w:r>
      <w:r w:rsidR="001755CE" w:rsidRPr="00B31DC3">
        <w:rPr>
          <w:rFonts w:cstheme="minorHAnsi"/>
        </w:rPr>
        <w:t>bidrag om de g</w:t>
      </w:r>
      <w:r w:rsidRPr="00B31DC3">
        <w:rPr>
          <w:rFonts w:cstheme="minorHAnsi"/>
        </w:rPr>
        <w:t>enomförde</w:t>
      </w:r>
      <w:r w:rsidR="001755CE" w:rsidRPr="00B31DC3">
        <w:rPr>
          <w:rFonts w:cstheme="minorHAnsi"/>
        </w:rPr>
        <w:t xml:space="preserve"> vissa beskrivna energieffektiviseringsåtgärder i sina egna hus</w:t>
      </w:r>
      <w:r w:rsidR="00F0551E" w:rsidRPr="00B31DC3">
        <w:rPr>
          <w:rFonts w:cstheme="minorHAnsi"/>
        </w:rPr>
        <w:t>.</w:t>
      </w:r>
      <w:r w:rsidR="001755CE" w:rsidRPr="00B31DC3">
        <w:rPr>
          <w:rFonts w:cstheme="minorHAnsi"/>
        </w:rPr>
        <w:t xml:space="preserve"> </w:t>
      </w:r>
      <w:r w:rsidR="00F0551E" w:rsidRPr="00B31DC3">
        <w:rPr>
          <w:rFonts w:cstheme="minorHAnsi"/>
        </w:rPr>
        <w:t xml:space="preserve"> </w:t>
      </w:r>
      <w:r w:rsidR="001755CE" w:rsidRPr="00B31DC3">
        <w:rPr>
          <w:rFonts w:cstheme="minorHAnsi"/>
        </w:rPr>
        <w:t>I försöket dela</w:t>
      </w:r>
      <w:r w:rsidR="00F0551E" w:rsidRPr="00B31DC3">
        <w:rPr>
          <w:rFonts w:cstheme="minorHAnsi"/>
        </w:rPr>
        <w:t>des</w:t>
      </w:r>
      <w:r w:rsidR="001755CE" w:rsidRPr="00B31DC3">
        <w:rPr>
          <w:rFonts w:cstheme="minorHAnsi"/>
        </w:rPr>
        <w:t xml:space="preserve"> kunderna in i två grupper. Den första </w:t>
      </w:r>
      <w:r w:rsidR="00F0551E" w:rsidRPr="00B31DC3">
        <w:rPr>
          <w:rFonts w:cstheme="minorHAnsi"/>
        </w:rPr>
        <w:t xml:space="preserve">gruppen </w:t>
      </w:r>
      <w:r w:rsidR="003827CB" w:rsidRPr="00B31DC3">
        <w:rPr>
          <w:rFonts w:cstheme="minorHAnsi"/>
        </w:rPr>
        <w:t xml:space="preserve">(Modell 1) </w:t>
      </w:r>
      <w:r w:rsidR="00F0551E" w:rsidRPr="00B31DC3">
        <w:rPr>
          <w:rFonts w:cstheme="minorHAnsi"/>
        </w:rPr>
        <w:t xml:space="preserve">var erbjudandet en fast procentandel 30 % av kunden.  </w:t>
      </w:r>
      <w:r w:rsidR="001755CE" w:rsidRPr="00B31DC3">
        <w:rPr>
          <w:rFonts w:cstheme="minorHAnsi"/>
        </w:rPr>
        <w:t>Med</w:t>
      </w:r>
      <w:r w:rsidR="00F0551E" w:rsidRPr="00B31DC3">
        <w:rPr>
          <w:rFonts w:cstheme="minorHAnsi"/>
        </w:rPr>
        <w:t>len</w:t>
      </w:r>
      <w:r w:rsidR="001755CE" w:rsidRPr="00B31DC3">
        <w:rPr>
          <w:rFonts w:cstheme="minorHAnsi"/>
        </w:rPr>
        <w:t xml:space="preserve"> tilldel</w:t>
      </w:r>
      <w:r w:rsidR="00F0551E" w:rsidRPr="00B31DC3">
        <w:rPr>
          <w:rFonts w:cstheme="minorHAnsi"/>
        </w:rPr>
        <w:t>ades</w:t>
      </w:r>
      <w:r w:rsidR="001755CE" w:rsidRPr="00B31DC3">
        <w:rPr>
          <w:rFonts w:cstheme="minorHAnsi"/>
        </w:rPr>
        <w:t xml:space="preserve"> </w:t>
      </w:r>
      <w:r w:rsidR="00FC2B9E" w:rsidRPr="00B31DC3">
        <w:rPr>
          <w:rFonts w:cstheme="minorHAnsi"/>
        </w:rPr>
        <w:t xml:space="preserve">i denna grupp </w:t>
      </w:r>
      <w:r w:rsidR="001755CE" w:rsidRPr="00B31DC3">
        <w:rPr>
          <w:rFonts w:cstheme="minorHAnsi"/>
        </w:rPr>
        <w:t>genom lottning bland inkomna ansökningar som uppfyller ställda krav</w:t>
      </w:r>
      <w:r w:rsidR="008C54DC" w:rsidRPr="00B31DC3">
        <w:rPr>
          <w:rFonts w:cstheme="minorHAnsi"/>
        </w:rPr>
        <w:t xml:space="preserve"> </w:t>
      </w:r>
      <w:r w:rsidR="001755CE" w:rsidRPr="00B31DC3">
        <w:rPr>
          <w:rFonts w:cstheme="minorHAnsi"/>
        </w:rPr>
        <w:t xml:space="preserve">och upp till tillgängligt budgetutrymme. </w:t>
      </w:r>
      <w:r w:rsidR="008C54DC" w:rsidRPr="00B31DC3">
        <w:rPr>
          <w:rFonts w:cstheme="minorHAnsi"/>
        </w:rPr>
        <w:t xml:space="preserve"> </w:t>
      </w:r>
      <w:r w:rsidR="001755CE" w:rsidRPr="00B31DC3">
        <w:rPr>
          <w:rFonts w:cstheme="minorHAnsi"/>
        </w:rPr>
        <w:t xml:space="preserve">I den andra gruppen </w:t>
      </w:r>
      <w:r w:rsidR="003827CB" w:rsidRPr="00B31DC3">
        <w:rPr>
          <w:rFonts w:cstheme="minorHAnsi"/>
        </w:rPr>
        <w:t>(Modell 2) fick</w:t>
      </w:r>
      <w:r w:rsidR="001755CE" w:rsidRPr="00B31DC3">
        <w:rPr>
          <w:rFonts w:cstheme="minorHAnsi"/>
        </w:rPr>
        <w:t xml:space="preserve"> fastighetsägaren samma frihet att inom ramen för de godkända åtgärderna välja den eller de åtgärder denne vill genomföra och äska bidrag för. Skillnaden </w:t>
      </w:r>
      <w:r w:rsidR="008C54DC" w:rsidRPr="00B31DC3">
        <w:rPr>
          <w:rFonts w:cstheme="minorHAnsi"/>
        </w:rPr>
        <w:t xml:space="preserve">var att </w:t>
      </w:r>
      <w:r w:rsidR="001755CE" w:rsidRPr="00B31DC3">
        <w:rPr>
          <w:rFonts w:cstheme="minorHAnsi"/>
        </w:rPr>
        <w:t>fastighetsägaren själv</w:t>
      </w:r>
      <w:r w:rsidR="008C54DC" w:rsidRPr="00B31DC3">
        <w:rPr>
          <w:rFonts w:cstheme="minorHAnsi"/>
        </w:rPr>
        <w:t xml:space="preserve"> fick</w:t>
      </w:r>
      <w:r w:rsidR="001755CE" w:rsidRPr="00B31DC3">
        <w:rPr>
          <w:rFonts w:cstheme="minorHAnsi"/>
        </w:rPr>
        <w:t xml:space="preserve"> ange hur många procent av totalkostnaden denne ansök</w:t>
      </w:r>
      <w:r w:rsidR="008C54DC" w:rsidRPr="00B31DC3">
        <w:rPr>
          <w:rFonts w:cstheme="minorHAnsi"/>
        </w:rPr>
        <w:t>te</w:t>
      </w:r>
      <w:r w:rsidR="001755CE" w:rsidRPr="00B31DC3">
        <w:rPr>
          <w:rFonts w:cstheme="minorHAnsi"/>
        </w:rPr>
        <w:t xml:space="preserve"> om (dock inom ramen maximalt 20 000 kr). Medel tilldela</w:t>
      </w:r>
      <w:r w:rsidR="008C54DC" w:rsidRPr="00B31DC3">
        <w:rPr>
          <w:rFonts w:cstheme="minorHAnsi"/>
        </w:rPr>
        <w:t>des</w:t>
      </w:r>
      <w:r w:rsidR="001755CE" w:rsidRPr="00B31DC3">
        <w:rPr>
          <w:rFonts w:cstheme="minorHAnsi"/>
        </w:rPr>
        <w:t xml:space="preserve"> med avseende på hur stor procentsiffra man begär</w:t>
      </w:r>
      <w:r w:rsidR="008C54DC" w:rsidRPr="00B31DC3">
        <w:rPr>
          <w:rFonts w:cstheme="minorHAnsi"/>
        </w:rPr>
        <w:t>t (från lägsta procentsiffra och uppåt till dess budgetutrymmet var uppnått.</w:t>
      </w:r>
    </w:p>
    <w:p w14:paraId="056C1317" w14:textId="57102452" w:rsidR="008C54DC" w:rsidRPr="00B31DC3" w:rsidRDefault="008C54DC" w:rsidP="009229F9">
      <w:pPr>
        <w:rPr>
          <w:rFonts w:cstheme="minorHAnsi"/>
        </w:rPr>
      </w:pPr>
      <w:r w:rsidRPr="00B31DC3">
        <w:rPr>
          <w:rFonts w:cstheme="minorHAnsi"/>
        </w:rPr>
        <w:t>Fastighetsägarna kunde välja en eller flera av följande åtgärder</w:t>
      </w:r>
      <w:r w:rsidR="001755CE" w:rsidRPr="00B31DC3">
        <w:rPr>
          <w:rFonts w:cstheme="minorHAnsi"/>
        </w:rPr>
        <w:t xml:space="preserve">: </w:t>
      </w:r>
    </w:p>
    <w:p w14:paraId="37E248BD" w14:textId="77777777" w:rsidR="008C54DC" w:rsidRPr="00B31DC3" w:rsidRDefault="001755CE" w:rsidP="003827CB">
      <w:pPr>
        <w:pStyle w:val="ListParagraph"/>
        <w:numPr>
          <w:ilvl w:val="0"/>
          <w:numId w:val="5"/>
        </w:numPr>
        <w:rPr>
          <w:rFonts w:cstheme="minorHAnsi"/>
        </w:rPr>
      </w:pPr>
      <w:r w:rsidRPr="00B31DC3">
        <w:rPr>
          <w:rFonts w:cstheme="minorHAnsi"/>
        </w:rPr>
        <w:t>förbättring av befintliga fönster (installera en isolerruta)</w:t>
      </w:r>
    </w:p>
    <w:p w14:paraId="0A01177F" w14:textId="77777777" w:rsidR="008C54DC" w:rsidRPr="00B31DC3" w:rsidRDefault="001755CE" w:rsidP="003827CB">
      <w:pPr>
        <w:pStyle w:val="ListParagraph"/>
        <w:numPr>
          <w:ilvl w:val="0"/>
          <w:numId w:val="5"/>
        </w:numPr>
        <w:rPr>
          <w:rFonts w:cstheme="minorHAnsi"/>
        </w:rPr>
      </w:pPr>
      <w:r w:rsidRPr="00B31DC3">
        <w:rPr>
          <w:rFonts w:cstheme="minorHAnsi"/>
        </w:rPr>
        <w:t xml:space="preserve">byte av fönster </w:t>
      </w:r>
    </w:p>
    <w:p w14:paraId="4245D42B" w14:textId="77777777" w:rsidR="008C54DC" w:rsidRPr="00B31DC3" w:rsidRDefault="001755CE" w:rsidP="003827CB">
      <w:pPr>
        <w:pStyle w:val="ListParagraph"/>
        <w:numPr>
          <w:ilvl w:val="0"/>
          <w:numId w:val="5"/>
        </w:numPr>
        <w:rPr>
          <w:rFonts w:cstheme="minorHAnsi"/>
        </w:rPr>
      </w:pPr>
      <w:r w:rsidRPr="00B31DC3">
        <w:rPr>
          <w:rFonts w:cstheme="minorHAnsi"/>
        </w:rPr>
        <w:t>byte av ytterdörr</w:t>
      </w:r>
    </w:p>
    <w:p w14:paraId="758FE355" w14:textId="77777777" w:rsidR="008C54DC" w:rsidRPr="00B31DC3" w:rsidRDefault="001755CE" w:rsidP="003827CB">
      <w:pPr>
        <w:pStyle w:val="ListParagraph"/>
        <w:numPr>
          <w:ilvl w:val="0"/>
          <w:numId w:val="5"/>
        </w:numPr>
        <w:rPr>
          <w:rFonts w:cstheme="minorHAnsi"/>
        </w:rPr>
      </w:pPr>
      <w:r w:rsidRPr="00B31DC3">
        <w:rPr>
          <w:rFonts w:cstheme="minorHAnsi"/>
        </w:rPr>
        <w:t>byte av kyl, frys eller kombinerad kyl- och frys</w:t>
      </w:r>
    </w:p>
    <w:p w14:paraId="7C0BD991" w14:textId="52EF603D" w:rsidR="001755CE" w:rsidRPr="00B31DC3" w:rsidRDefault="001755CE" w:rsidP="009229F9">
      <w:pPr>
        <w:pStyle w:val="ListParagraph"/>
        <w:numPr>
          <w:ilvl w:val="0"/>
          <w:numId w:val="5"/>
        </w:numPr>
        <w:rPr>
          <w:rFonts w:cstheme="minorHAnsi"/>
        </w:rPr>
      </w:pPr>
      <w:r w:rsidRPr="00B31DC3">
        <w:rPr>
          <w:rFonts w:cstheme="minorHAnsi"/>
        </w:rPr>
        <w:t>byte av cirkulationspump i värmesystemet</w:t>
      </w:r>
    </w:p>
    <w:p w14:paraId="5853D0D0" w14:textId="444BF4B4" w:rsidR="008C54DC" w:rsidRPr="00B31DC3" w:rsidRDefault="008C54DC" w:rsidP="009229F9">
      <w:pPr>
        <w:rPr>
          <w:rFonts w:cstheme="minorHAnsi"/>
        </w:rPr>
      </w:pPr>
      <w:r w:rsidRPr="00B31DC3">
        <w:rPr>
          <w:rFonts w:cstheme="minorHAnsi"/>
        </w:rPr>
        <w:lastRenderedPageBreak/>
        <w:t>För att få bidrag ställdes energikrav. Valda produkter</w:t>
      </w:r>
      <w:r w:rsidR="001755CE" w:rsidRPr="00B31DC3">
        <w:rPr>
          <w:rFonts w:cstheme="minorHAnsi"/>
        </w:rPr>
        <w:t xml:space="preserve"> </w:t>
      </w:r>
      <w:r w:rsidRPr="00B31DC3">
        <w:rPr>
          <w:rFonts w:cstheme="minorHAnsi"/>
        </w:rPr>
        <w:t>skulle finnas</w:t>
      </w:r>
      <w:r w:rsidR="001755CE" w:rsidRPr="00B31DC3">
        <w:rPr>
          <w:rFonts w:cstheme="minorHAnsi"/>
        </w:rPr>
        <w:t xml:space="preserve"> på Naturskyddsföreningens lista </w:t>
      </w:r>
      <w:proofErr w:type="spellStart"/>
      <w:r w:rsidR="001755CE" w:rsidRPr="00B31DC3">
        <w:rPr>
          <w:rFonts w:cstheme="minorHAnsi"/>
        </w:rPr>
        <w:t>Top</w:t>
      </w:r>
      <w:proofErr w:type="spellEnd"/>
      <w:r w:rsidR="001755CE" w:rsidRPr="00B31DC3">
        <w:rPr>
          <w:rFonts w:cstheme="minorHAnsi"/>
        </w:rPr>
        <w:t xml:space="preserve"> Ten Sverige eller kunna uppvisa motsvarande energiprestanda</w:t>
      </w:r>
      <w:r w:rsidRPr="00B31DC3">
        <w:rPr>
          <w:rFonts w:cstheme="minorHAnsi"/>
        </w:rPr>
        <w:t xml:space="preserve">. </w:t>
      </w:r>
      <w:r w:rsidR="001755CE" w:rsidRPr="00B31DC3">
        <w:rPr>
          <w:rFonts w:cstheme="minorHAnsi"/>
        </w:rPr>
        <w:t xml:space="preserve">Vid byte av dörr </w:t>
      </w:r>
      <w:r w:rsidRPr="00B31DC3">
        <w:rPr>
          <w:rFonts w:cstheme="minorHAnsi"/>
        </w:rPr>
        <w:t xml:space="preserve">skulle </w:t>
      </w:r>
      <w:r w:rsidR="001755CE" w:rsidRPr="00B31DC3">
        <w:rPr>
          <w:rFonts w:cstheme="minorHAnsi"/>
        </w:rPr>
        <w:t xml:space="preserve">produkten ha ett U-värde på högst 0,8 och </w:t>
      </w:r>
      <w:r w:rsidRPr="00B31DC3">
        <w:rPr>
          <w:rFonts w:cstheme="minorHAnsi"/>
        </w:rPr>
        <w:t xml:space="preserve">vid </w:t>
      </w:r>
      <w:r w:rsidR="001755CE" w:rsidRPr="00B31DC3">
        <w:rPr>
          <w:rFonts w:cstheme="minorHAnsi"/>
        </w:rPr>
        <w:t xml:space="preserve">fönsterrenovering </w:t>
      </w:r>
      <w:r w:rsidRPr="00B31DC3">
        <w:rPr>
          <w:rFonts w:cstheme="minorHAnsi"/>
        </w:rPr>
        <w:t xml:space="preserve">skulle komplettering ske med en </w:t>
      </w:r>
      <w:r w:rsidR="001755CE" w:rsidRPr="00B31DC3">
        <w:rPr>
          <w:rFonts w:cstheme="minorHAnsi"/>
        </w:rPr>
        <w:t xml:space="preserve">isolerruta. </w:t>
      </w:r>
    </w:p>
    <w:p w14:paraId="19EB5E43" w14:textId="30F7707D" w:rsidR="001A32D0" w:rsidRPr="00B31DC3" w:rsidRDefault="008C54DC" w:rsidP="009229F9">
      <w:pPr>
        <w:rPr>
          <w:rFonts w:cstheme="minorHAnsi"/>
        </w:rPr>
      </w:pPr>
      <w:r w:rsidRPr="00B31DC3">
        <w:rPr>
          <w:rFonts w:cstheme="minorHAnsi"/>
        </w:rPr>
        <w:t xml:space="preserve">I november 2019 beviljades </w:t>
      </w:r>
      <w:proofErr w:type="spellStart"/>
      <w:r w:rsidRPr="00B31DC3">
        <w:rPr>
          <w:rFonts w:cstheme="minorHAnsi"/>
        </w:rPr>
        <w:t>Sustainable</w:t>
      </w:r>
      <w:proofErr w:type="spellEnd"/>
      <w:r w:rsidRPr="00B31DC3">
        <w:rPr>
          <w:rFonts w:cstheme="minorHAnsi"/>
        </w:rPr>
        <w:t xml:space="preserve"> Innovation 2 100 000 kr från Energieffektiviserings</w:t>
      </w:r>
      <w:r w:rsidR="003827CB" w:rsidRPr="00B31DC3">
        <w:rPr>
          <w:rFonts w:cstheme="minorHAnsi"/>
        </w:rPr>
        <w:t>-</w:t>
      </w:r>
      <w:r w:rsidRPr="00B31DC3">
        <w:rPr>
          <w:rFonts w:cstheme="minorHAnsi"/>
        </w:rPr>
        <w:t xml:space="preserve">fonden för att </w:t>
      </w:r>
      <w:r w:rsidR="001A32D0" w:rsidRPr="00B31DC3">
        <w:rPr>
          <w:rFonts w:cstheme="minorHAnsi"/>
        </w:rPr>
        <w:t xml:space="preserve">genomföra studien. </w:t>
      </w:r>
    </w:p>
    <w:p w14:paraId="223C19D6" w14:textId="75C1280C" w:rsidR="00AA2AB8" w:rsidRPr="00B31DC3" w:rsidRDefault="00AA2AB8" w:rsidP="009229F9">
      <w:pPr>
        <w:rPr>
          <w:rFonts w:cstheme="minorHAnsi"/>
          <w:color w:val="000000"/>
        </w:rPr>
      </w:pPr>
      <w:r w:rsidRPr="00B31DC3">
        <w:rPr>
          <w:rFonts w:cstheme="minorHAnsi"/>
          <w:color w:val="000000"/>
        </w:rPr>
        <w:t xml:space="preserve">De båda erbjudandena publicerades den 10 januari 2020 på Göteborg Energis webbsida </w:t>
      </w:r>
    </w:p>
    <w:p w14:paraId="65EA48E9" w14:textId="5E8EB379" w:rsidR="00EE52DA" w:rsidRPr="00B31DC3" w:rsidRDefault="00AA2AB8" w:rsidP="009229F9">
      <w:pPr>
        <w:rPr>
          <w:rFonts w:cstheme="minorHAnsi"/>
          <w:color w:val="000000"/>
        </w:rPr>
      </w:pPr>
      <w:r w:rsidRPr="00B31DC3">
        <w:rPr>
          <w:rFonts w:cstheme="minorHAnsi"/>
          <w:color w:val="000000"/>
        </w:rPr>
        <w:t>Några dagar efter att websidorna hade publicerats postades eller mailades erbjudanden till kunderna i grupperna Modell 1 och Modell 2 med svarslänkar till respektive websidor</w:t>
      </w:r>
      <w:r w:rsidR="003827CB" w:rsidRPr="00B31DC3">
        <w:rPr>
          <w:rFonts w:cstheme="minorHAnsi"/>
          <w:color w:val="000000"/>
        </w:rPr>
        <w:t xml:space="preserve">. </w:t>
      </w:r>
      <w:r w:rsidR="00EE52DA" w:rsidRPr="00B31DC3">
        <w:rPr>
          <w:rFonts w:cstheme="minorHAnsi"/>
        </w:rPr>
        <w:t>Urvalsbasen var småhus i Göteborgs kommun som hade kundavtal med Göteborg Energi. Totalt fick ca 14 000 småhusägare erbjudandet. Ca 7 000 fick erbjudandet med fast bidragsprocent (Modell 1) och ca 7 000 fick erbjudandet där man själv fick lägga ett bud på hur mycket bidrag man ville ha för att genomföra åtgärderna (Modell 2)</w:t>
      </w:r>
      <w:r w:rsidR="00293505" w:rsidRPr="00B31DC3">
        <w:rPr>
          <w:rFonts w:cstheme="minorHAnsi"/>
        </w:rPr>
        <w:t xml:space="preserve">. </w:t>
      </w:r>
      <w:r w:rsidRPr="00B31DC3">
        <w:rPr>
          <w:rFonts w:cstheme="minorHAnsi"/>
          <w:color w:val="000000"/>
        </w:rPr>
        <w:t>Slutdatum för inkomna anbud sattes till den 7 februari</w:t>
      </w:r>
      <w:r w:rsidR="00293505" w:rsidRPr="00B31DC3">
        <w:rPr>
          <w:rFonts w:cstheme="minorHAnsi"/>
          <w:color w:val="000000"/>
        </w:rPr>
        <w:t>.</w:t>
      </w:r>
      <w:r w:rsidRPr="00B31DC3">
        <w:rPr>
          <w:rFonts w:cstheme="minorHAnsi"/>
          <w:color w:val="000000"/>
        </w:rPr>
        <w:t xml:space="preserve"> </w:t>
      </w:r>
    </w:p>
    <w:p w14:paraId="4C12C483" w14:textId="3749F678" w:rsidR="00EE52DA" w:rsidRPr="00B31DC3" w:rsidRDefault="00AA2AB8" w:rsidP="009229F9">
      <w:pPr>
        <w:rPr>
          <w:rFonts w:cstheme="minorHAnsi"/>
          <w:color w:val="000000"/>
        </w:rPr>
      </w:pPr>
      <w:r w:rsidRPr="00B31DC3">
        <w:rPr>
          <w:rFonts w:cstheme="minorHAnsi"/>
          <w:color w:val="000000"/>
        </w:rPr>
        <w:t xml:space="preserve">Efter sista ansökningsdag sammanställdes all ansökningsdata och en första fördelning gjordes efter fastställda fördelningsprinciper. D.v.s. för Modell 1 fördelades </w:t>
      </w:r>
      <w:proofErr w:type="spellStart"/>
      <w:r w:rsidRPr="00B31DC3">
        <w:rPr>
          <w:rFonts w:cstheme="minorHAnsi"/>
          <w:color w:val="000000"/>
        </w:rPr>
        <w:t>stödmedel</w:t>
      </w:r>
      <w:proofErr w:type="spellEnd"/>
      <w:r w:rsidRPr="00B31DC3">
        <w:rPr>
          <w:rFonts w:cstheme="minorHAnsi"/>
          <w:color w:val="000000"/>
        </w:rPr>
        <w:t xml:space="preserve"> slumpmässigt och för Modell 2 gjordes en rangordning efter hur stor andel av investeringsbeloppet man sökte stöd för. Den totala budgeten fördelades mellan grupperna proportionerligt mot hur mycket medel som sökts inom respektive grupp. Efter denna första fördelning kontrollerades att ansökningarna uppförde uppsatta krav i termer av energiprestanda och beloppsgränser. I de fall som ansökningen inte uppfyllde kraven så ströks de och istället tilldelades nästa ansökan på listan av reservplatser. </w:t>
      </w:r>
      <w:r w:rsidR="00293505" w:rsidRPr="00B31DC3">
        <w:rPr>
          <w:rFonts w:cstheme="minorHAnsi"/>
          <w:color w:val="000000"/>
        </w:rPr>
        <w:t>Därefter meddelades beslutet till de som fått bidrag med begäran om att de senast den 15 oktober skulle inkomma med en slutredovisning av genomförda åtgärder.</w:t>
      </w:r>
      <w:r w:rsidR="006D29FA" w:rsidRPr="00B31DC3">
        <w:rPr>
          <w:rFonts w:cstheme="minorHAnsi"/>
          <w:color w:val="000000"/>
        </w:rPr>
        <w:t xml:space="preserve"> De som inte fått bidrag meddelades om att så var fallet men att de kvarstod som reserver. </w:t>
      </w:r>
    </w:p>
    <w:p w14:paraId="0D4CDD4A" w14:textId="2B8119CF" w:rsidR="00EE52DA" w:rsidRPr="00B31DC3" w:rsidRDefault="00917C82" w:rsidP="009229F9">
      <w:pPr>
        <w:rPr>
          <w:rFonts w:cstheme="minorHAnsi"/>
          <w:color w:val="000000"/>
        </w:rPr>
      </w:pPr>
      <w:r w:rsidRPr="00B31DC3">
        <w:rPr>
          <w:rFonts w:cstheme="minorHAnsi"/>
          <w:color w:val="000000"/>
        </w:rPr>
        <w:t xml:space="preserve">I mars 2020 gjorde </w:t>
      </w:r>
      <w:proofErr w:type="spellStart"/>
      <w:r w:rsidRPr="00B31DC3">
        <w:rPr>
          <w:rFonts w:cstheme="minorHAnsi"/>
          <w:color w:val="000000"/>
        </w:rPr>
        <w:t>Sustainable</w:t>
      </w:r>
      <w:proofErr w:type="spellEnd"/>
      <w:r w:rsidRPr="00B31DC3">
        <w:rPr>
          <w:rFonts w:cstheme="minorHAnsi"/>
          <w:color w:val="000000"/>
        </w:rPr>
        <w:t xml:space="preserve"> Innovation en tilläggsansökan om ytterligare 500 000 kr från </w:t>
      </w:r>
      <w:r w:rsidR="00293505" w:rsidRPr="00B31DC3">
        <w:rPr>
          <w:rFonts w:cstheme="minorHAnsi"/>
          <w:color w:val="000000"/>
        </w:rPr>
        <w:t>Energieffektiviseringsfonden</w:t>
      </w:r>
      <w:r w:rsidR="00AA2AB8" w:rsidRPr="00B31DC3">
        <w:rPr>
          <w:rFonts w:cstheme="minorHAnsi"/>
          <w:color w:val="000000"/>
        </w:rPr>
        <w:t>.</w:t>
      </w:r>
      <w:r w:rsidR="00293505" w:rsidRPr="00B31DC3">
        <w:rPr>
          <w:rFonts w:cstheme="minorHAnsi"/>
          <w:color w:val="000000"/>
        </w:rPr>
        <w:t xml:space="preserve"> När ansökan blev beviljad i juni fick ytterligare 40 småhusägare sina ansökningar beviljade. </w:t>
      </w:r>
    </w:p>
    <w:p w14:paraId="0581B886" w14:textId="12C7E73B" w:rsidR="00EE52DA" w:rsidRPr="00B31DC3" w:rsidRDefault="00AA2AB8" w:rsidP="009229F9">
      <w:pPr>
        <w:rPr>
          <w:rFonts w:cstheme="minorHAnsi"/>
          <w:color w:val="000000"/>
        </w:rPr>
      </w:pPr>
      <w:r w:rsidRPr="00B31DC3">
        <w:rPr>
          <w:rFonts w:cstheme="minorHAnsi"/>
          <w:color w:val="000000"/>
        </w:rPr>
        <w:t xml:space="preserve">För Modell 1 inkom 184 ansökningar, och av dessa beviljades 103 stycken.  </w:t>
      </w:r>
      <w:r w:rsidR="00EE52DA" w:rsidRPr="00B31DC3">
        <w:rPr>
          <w:rFonts w:cstheme="minorHAnsi"/>
          <w:color w:val="000000"/>
        </w:rPr>
        <w:t>I</w:t>
      </w:r>
      <w:r w:rsidRPr="00B31DC3">
        <w:rPr>
          <w:rFonts w:cstheme="minorHAnsi"/>
          <w:color w:val="000000"/>
        </w:rPr>
        <w:t xml:space="preserve">nvesteringsvolymen </w:t>
      </w:r>
      <w:r w:rsidR="00EE52DA" w:rsidRPr="00B31DC3">
        <w:rPr>
          <w:rFonts w:cstheme="minorHAnsi"/>
          <w:color w:val="000000"/>
        </w:rPr>
        <w:t xml:space="preserve">för de beviljade ansökningarna uppgick </w:t>
      </w:r>
      <w:r w:rsidRPr="00B31DC3">
        <w:rPr>
          <w:rFonts w:cstheme="minorHAnsi"/>
          <w:color w:val="000000"/>
        </w:rPr>
        <w:t xml:space="preserve">till knappt tio miljoner kronor, </w:t>
      </w:r>
      <w:r w:rsidR="00EE52DA" w:rsidRPr="00B31DC3">
        <w:rPr>
          <w:rFonts w:cstheme="minorHAnsi"/>
          <w:color w:val="000000"/>
        </w:rPr>
        <w:t>varav man sökte</w:t>
      </w:r>
      <w:r w:rsidRPr="00B31DC3">
        <w:rPr>
          <w:rFonts w:cstheme="minorHAnsi"/>
          <w:color w:val="000000"/>
        </w:rPr>
        <w:t xml:space="preserve"> 2,3 miljoner kronor i investeringsstöd. Den genomsnittliga projektstorleken </w:t>
      </w:r>
      <w:r w:rsidR="00EE52DA" w:rsidRPr="00B31DC3">
        <w:rPr>
          <w:rFonts w:cstheme="minorHAnsi"/>
          <w:color w:val="000000"/>
        </w:rPr>
        <w:t>var</w:t>
      </w:r>
      <w:r w:rsidRPr="00B31DC3">
        <w:rPr>
          <w:rFonts w:cstheme="minorHAnsi"/>
          <w:color w:val="000000"/>
        </w:rPr>
        <w:t xml:space="preserve"> 54 000 kronor, och man söker i genomsnitt 12 339 kronor i stöd</w:t>
      </w:r>
      <w:r w:rsidR="00917C82" w:rsidRPr="00B31DC3">
        <w:rPr>
          <w:rFonts w:cstheme="minorHAnsi"/>
          <w:color w:val="000000"/>
        </w:rPr>
        <w:t xml:space="preserve"> (</w:t>
      </w:r>
      <w:r w:rsidRPr="00B31DC3">
        <w:rPr>
          <w:rFonts w:cstheme="minorHAnsi"/>
          <w:color w:val="000000"/>
        </w:rPr>
        <w:t xml:space="preserve">27,5 </w:t>
      </w:r>
      <w:r w:rsidR="00917C82" w:rsidRPr="00B31DC3">
        <w:rPr>
          <w:rFonts w:cstheme="minorHAnsi"/>
          <w:color w:val="000000"/>
        </w:rPr>
        <w:t xml:space="preserve">%). </w:t>
      </w:r>
      <w:r w:rsidRPr="00B31DC3">
        <w:rPr>
          <w:rFonts w:cstheme="minorHAnsi"/>
          <w:color w:val="000000"/>
        </w:rPr>
        <w:t xml:space="preserve"> Ser man till de beviljade projekten så ser snarlikt ut. Det genomsnittliga projektet har en omslutning på nära 57 </w:t>
      </w:r>
      <w:r w:rsidR="00FE17EC" w:rsidRPr="00B31DC3">
        <w:rPr>
          <w:rFonts w:cstheme="minorHAnsi"/>
          <w:color w:val="000000"/>
        </w:rPr>
        <w:t>000</w:t>
      </w:r>
      <w:r w:rsidRPr="00B31DC3">
        <w:rPr>
          <w:rFonts w:cstheme="minorHAnsi"/>
          <w:color w:val="000000"/>
        </w:rPr>
        <w:t xml:space="preserve"> kronor, ett sökt belopp på 12 700 kronor</w:t>
      </w:r>
      <w:r w:rsidR="00917C82" w:rsidRPr="00B31DC3">
        <w:rPr>
          <w:rFonts w:cstheme="minorHAnsi"/>
          <w:color w:val="000000"/>
        </w:rPr>
        <w:t xml:space="preserve"> (</w:t>
      </w:r>
      <w:r w:rsidRPr="00B31DC3">
        <w:rPr>
          <w:rFonts w:cstheme="minorHAnsi"/>
          <w:color w:val="000000"/>
        </w:rPr>
        <w:t xml:space="preserve">27 </w:t>
      </w:r>
      <w:r w:rsidR="00917C82" w:rsidRPr="00B31DC3">
        <w:rPr>
          <w:rFonts w:cstheme="minorHAnsi"/>
          <w:color w:val="000000"/>
        </w:rPr>
        <w:t>%).</w:t>
      </w:r>
      <w:r w:rsidRPr="00B31DC3">
        <w:rPr>
          <w:rFonts w:cstheme="minorHAnsi"/>
          <w:color w:val="000000"/>
        </w:rPr>
        <w:t xml:space="preserve"> </w:t>
      </w:r>
      <w:r w:rsidR="00CD3E57" w:rsidRPr="00B31DC3">
        <w:rPr>
          <w:rFonts w:cstheme="minorHAnsi"/>
          <w:color w:val="000000"/>
        </w:rPr>
        <w:t>Totalt fördelat bidrag var 1,3 miljoner kronor för en investeringsomslutning om ca 6 miljoner kronor.</w:t>
      </w:r>
    </w:p>
    <w:p w14:paraId="54078F63" w14:textId="508939B5" w:rsidR="00AA2AB8" w:rsidRPr="00B31DC3" w:rsidRDefault="00AA2AB8" w:rsidP="009229F9">
      <w:pPr>
        <w:rPr>
          <w:rFonts w:cstheme="minorHAnsi"/>
          <w:color w:val="000000"/>
        </w:rPr>
      </w:pPr>
      <w:r w:rsidRPr="00B31DC3">
        <w:rPr>
          <w:rFonts w:cstheme="minorHAnsi"/>
          <w:color w:val="000000"/>
        </w:rPr>
        <w:t>För Modell 2 ser det lite annorlunda ut. Vad man direkt kan konstatera</w:t>
      </w:r>
      <w:r w:rsidR="00FE17EC" w:rsidRPr="00B31DC3">
        <w:rPr>
          <w:rFonts w:cstheme="minorHAnsi"/>
          <w:color w:val="000000"/>
        </w:rPr>
        <w:t xml:space="preserve"> </w:t>
      </w:r>
      <w:r w:rsidRPr="00B31DC3">
        <w:rPr>
          <w:rFonts w:cstheme="minorHAnsi"/>
          <w:color w:val="000000"/>
        </w:rPr>
        <w:t>är att det inkom</w:t>
      </w:r>
      <w:r w:rsidR="00FE17EC" w:rsidRPr="00B31DC3">
        <w:rPr>
          <w:rFonts w:cstheme="minorHAnsi"/>
          <w:color w:val="000000"/>
        </w:rPr>
        <w:t xml:space="preserve"> totalt</w:t>
      </w:r>
      <w:r w:rsidRPr="00B31DC3">
        <w:rPr>
          <w:rFonts w:cstheme="minorHAnsi"/>
          <w:color w:val="000000"/>
        </w:rPr>
        <w:t xml:space="preserve"> 378 ansökningar, dubbelt så många ansökningar som för Modell 1.</w:t>
      </w:r>
      <w:r w:rsidR="006D29FA" w:rsidRPr="00B31DC3">
        <w:rPr>
          <w:rFonts w:cstheme="minorHAnsi"/>
          <w:color w:val="000000"/>
        </w:rPr>
        <w:t xml:space="preserve"> Av dessa beviljades 92 st.</w:t>
      </w:r>
      <w:r w:rsidRPr="00B31DC3">
        <w:rPr>
          <w:rFonts w:cstheme="minorHAnsi"/>
          <w:color w:val="000000"/>
        </w:rPr>
        <w:t xml:space="preserve"> Den totala </w:t>
      </w:r>
      <w:r w:rsidR="00FE17EC" w:rsidRPr="00B31DC3">
        <w:rPr>
          <w:rFonts w:cstheme="minorHAnsi"/>
          <w:color w:val="000000"/>
        </w:rPr>
        <w:t>ansökta</w:t>
      </w:r>
      <w:r w:rsidRPr="00B31DC3">
        <w:rPr>
          <w:rFonts w:cstheme="minorHAnsi"/>
          <w:color w:val="000000"/>
        </w:rPr>
        <w:t xml:space="preserve"> investeringsvolymen uppg</w:t>
      </w:r>
      <w:r w:rsidR="00FE17EC" w:rsidRPr="00B31DC3">
        <w:rPr>
          <w:rFonts w:cstheme="minorHAnsi"/>
          <w:color w:val="000000"/>
        </w:rPr>
        <w:t>ick</w:t>
      </w:r>
      <w:r w:rsidRPr="00B31DC3">
        <w:rPr>
          <w:rFonts w:cstheme="minorHAnsi"/>
          <w:color w:val="000000"/>
        </w:rPr>
        <w:t xml:space="preserve"> till nära 15 miljoner kronor, och man sök</w:t>
      </w:r>
      <w:r w:rsidR="00CD3E57" w:rsidRPr="00B31DC3">
        <w:rPr>
          <w:rFonts w:cstheme="minorHAnsi"/>
          <w:color w:val="000000"/>
        </w:rPr>
        <w:t xml:space="preserve">te </w:t>
      </w:r>
      <w:r w:rsidRPr="00B31DC3">
        <w:rPr>
          <w:rFonts w:cstheme="minorHAnsi"/>
          <w:color w:val="000000"/>
        </w:rPr>
        <w:t>totalt 5,8 miljoner kronor (39 %) i bidrag. Eftersom tilldelning</w:t>
      </w:r>
      <w:r w:rsidR="00315641" w:rsidRPr="00B31DC3">
        <w:rPr>
          <w:rFonts w:cstheme="minorHAnsi"/>
          <w:color w:val="000000"/>
        </w:rPr>
        <w:t xml:space="preserve">en av bidrag gjordes </w:t>
      </w:r>
      <w:r w:rsidRPr="00B31DC3">
        <w:rPr>
          <w:rFonts w:cstheme="minorHAnsi"/>
          <w:color w:val="000000"/>
        </w:rPr>
        <w:t>genom en rangordning där den som sök</w:t>
      </w:r>
      <w:r w:rsidR="00315641" w:rsidRPr="00B31DC3">
        <w:rPr>
          <w:rFonts w:cstheme="minorHAnsi"/>
          <w:color w:val="000000"/>
        </w:rPr>
        <w:t>te</w:t>
      </w:r>
      <w:r w:rsidRPr="00B31DC3">
        <w:rPr>
          <w:rFonts w:cstheme="minorHAnsi"/>
          <w:color w:val="000000"/>
        </w:rPr>
        <w:t xml:space="preserve"> lägst bidrag</w:t>
      </w:r>
      <w:r w:rsidR="00FE17EC" w:rsidRPr="00B31DC3">
        <w:rPr>
          <w:rFonts w:cstheme="minorHAnsi"/>
          <w:color w:val="000000"/>
        </w:rPr>
        <w:t>sprocent</w:t>
      </w:r>
      <w:r w:rsidRPr="00B31DC3">
        <w:rPr>
          <w:rFonts w:cstheme="minorHAnsi"/>
          <w:color w:val="000000"/>
        </w:rPr>
        <w:t xml:space="preserve"> bevilja</w:t>
      </w:r>
      <w:r w:rsidR="00FE17EC" w:rsidRPr="00B31DC3">
        <w:rPr>
          <w:rFonts w:cstheme="minorHAnsi"/>
          <w:color w:val="000000"/>
        </w:rPr>
        <w:t>des</w:t>
      </w:r>
      <w:r w:rsidR="00315641" w:rsidRPr="00B31DC3">
        <w:rPr>
          <w:rFonts w:cstheme="minorHAnsi"/>
          <w:color w:val="000000"/>
        </w:rPr>
        <w:t xml:space="preserve"> först</w:t>
      </w:r>
      <w:r w:rsidR="00CD3E57" w:rsidRPr="00B31DC3">
        <w:rPr>
          <w:rFonts w:cstheme="minorHAnsi"/>
          <w:color w:val="000000"/>
        </w:rPr>
        <w:t xml:space="preserve"> blev den genomsnittliga b</w:t>
      </w:r>
      <w:r w:rsidRPr="00B31DC3">
        <w:rPr>
          <w:rFonts w:cstheme="minorHAnsi"/>
          <w:color w:val="000000"/>
        </w:rPr>
        <w:t xml:space="preserve">idragsandelen </w:t>
      </w:r>
      <w:r w:rsidR="00315641" w:rsidRPr="00B31DC3">
        <w:rPr>
          <w:rFonts w:cstheme="minorHAnsi"/>
          <w:color w:val="000000"/>
        </w:rPr>
        <w:t xml:space="preserve">enbart </w:t>
      </w:r>
      <w:r w:rsidRPr="00B31DC3">
        <w:rPr>
          <w:rFonts w:cstheme="minorHAnsi"/>
          <w:color w:val="000000"/>
        </w:rPr>
        <w:t>17,5%</w:t>
      </w:r>
      <w:r w:rsidR="00315641" w:rsidRPr="00B31DC3">
        <w:rPr>
          <w:rFonts w:cstheme="minorHAnsi"/>
          <w:color w:val="000000"/>
        </w:rPr>
        <w:t xml:space="preserve"> </w:t>
      </w:r>
      <w:r w:rsidRPr="00B31DC3">
        <w:rPr>
          <w:rFonts w:cstheme="minorHAnsi"/>
          <w:color w:val="000000"/>
        </w:rPr>
        <w:t>för de beviljade ansö</w:t>
      </w:r>
      <w:r w:rsidR="00CD3E57" w:rsidRPr="00B31DC3">
        <w:rPr>
          <w:rFonts w:cstheme="minorHAnsi"/>
          <w:color w:val="000000"/>
        </w:rPr>
        <w:t>kningarna</w:t>
      </w:r>
      <w:r w:rsidR="00315641" w:rsidRPr="00B31DC3">
        <w:rPr>
          <w:rFonts w:cstheme="minorHAnsi"/>
          <w:color w:val="000000"/>
        </w:rPr>
        <w:t>. T</w:t>
      </w:r>
      <w:r w:rsidRPr="00B31DC3">
        <w:rPr>
          <w:rFonts w:cstheme="minorHAnsi"/>
          <w:color w:val="000000"/>
        </w:rPr>
        <w:t xml:space="preserve">otalt </w:t>
      </w:r>
      <w:r w:rsidR="00315641" w:rsidRPr="00B31DC3">
        <w:rPr>
          <w:rFonts w:cstheme="minorHAnsi"/>
          <w:color w:val="000000"/>
        </w:rPr>
        <w:t xml:space="preserve">fördelat bidrag var </w:t>
      </w:r>
      <w:r w:rsidRPr="00B31DC3">
        <w:rPr>
          <w:rFonts w:cstheme="minorHAnsi"/>
          <w:color w:val="000000"/>
        </w:rPr>
        <w:t xml:space="preserve">1,4 miljoner kronor för en investeringsomslutning på över 8 miljoner kronor. </w:t>
      </w:r>
    </w:p>
    <w:p w14:paraId="22E5EC0D" w14:textId="5B56788A" w:rsidR="00315641" w:rsidRDefault="00315641" w:rsidP="009229F9">
      <w:pPr>
        <w:rPr>
          <w:rFonts w:cstheme="minorHAnsi"/>
          <w:i/>
          <w:iCs/>
          <w:color w:val="000000"/>
        </w:rPr>
      </w:pPr>
    </w:p>
    <w:p w14:paraId="1F5B1F99" w14:textId="77777777" w:rsidR="00B31DC3" w:rsidRPr="009229F9" w:rsidRDefault="00B31DC3" w:rsidP="009229F9">
      <w:pPr>
        <w:rPr>
          <w:rFonts w:cstheme="minorHAnsi"/>
          <w:i/>
          <w:iCs/>
          <w:color w:val="000000"/>
        </w:rPr>
      </w:pPr>
    </w:p>
    <w:p w14:paraId="2E3A0F8C" w14:textId="77777777" w:rsidR="004E074B" w:rsidRPr="009229F9" w:rsidRDefault="004E074B" w:rsidP="003827CB">
      <w:pPr>
        <w:pStyle w:val="Heading3"/>
      </w:pPr>
      <w:r w:rsidRPr="009229F9">
        <w:lastRenderedPageBreak/>
        <w:t>Undersökt population</w:t>
      </w:r>
    </w:p>
    <w:p w14:paraId="04734335" w14:textId="4402BC8E" w:rsidR="004E074B" w:rsidRPr="009229F9" w:rsidRDefault="004E074B" w:rsidP="009229F9">
      <w:pPr>
        <w:rPr>
          <w:rFonts w:cstheme="minorHAnsi"/>
        </w:rPr>
      </w:pPr>
      <w:r w:rsidRPr="009229F9">
        <w:rPr>
          <w:rFonts w:cstheme="minorHAnsi"/>
        </w:rPr>
        <w:t xml:space="preserve">Analyserna nedan baseras på data från 192 villaägarnas beviljade ansökningar som var gällande i slutet av september 2020. De flesta av dessa, 140 </w:t>
      </w:r>
      <w:proofErr w:type="spellStart"/>
      <w:r w:rsidRPr="009229F9">
        <w:rPr>
          <w:rFonts w:cstheme="minorHAnsi"/>
        </w:rPr>
        <w:t>st</w:t>
      </w:r>
      <w:proofErr w:type="spellEnd"/>
      <w:r w:rsidRPr="009229F9">
        <w:rPr>
          <w:rFonts w:cstheme="minorHAnsi"/>
        </w:rPr>
        <w:t xml:space="preserve">, beviljades i slutet av februari, 12 </w:t>
      </w:r>
      <w:proofErr w:type="spellStart"/>
      <w:proofErr w:type="gramStart"/>
      <w:r w:rsidRPr="009229F9">
        <w:rPr>
          <w:rFonts w:cstheme="minorHAnsi"/>
        </w:rPr>
        <w:t>st</w:t>
      </w:r>
      <w:proofErr w:type="spellEnd"/>
      <w:r w:rsidRPr="009229F9">
        <w:rPr>
          <w:rFonts w:cstheme="minorHAnsi"/>
        </w:rPr>
        <w:t xml:space="preserve">  tillkom</w:t>
      </w:r>
      <w:proofErr w:type="gramEnd"/>
      <w:r w:rsidRPr="009229F9">
        <w:rPr>
          <w:rFonts w:cstheme="minorHAnsi"/>
        </w:rPr>
        <w:t xml:space="preserve"> genom att beviljade ansökningar har fallit bort (och därmed skapat ekonomiskt utrymme att bevilja fler) och 40 </w:t>
      </w:r>
      <w:proofErr w:type="spellStart"/>
      <w:r w:rsidRPr="009229F9">
        <w:rPr>
          <w:rFonts w:cstheme="minorHAnsi"/>
        </w:rPr>
        <w:t>st</w:t>
      </w:r>
      <w:proofErr w:type="spellEnd"/>
      <w:r w:rsidRPr="009229F9">
        <w:rPr>
          <w:rFonts w:cstheme="minorHAnsi"/>
        </w:rPr>
        <w:t xml:space="preserve"> blev beviljade i slutet av juni 2020 efter att bidragsramen utökades</w:t>
      </w:r>
      <w:r w:rsidR="003827CB">
        <w:rPr>
          <w:rFonts w:cstheme="minorHAnsi"/>
        </w:rPr>
        <w:t>.</w:t>
      </w:r>
      <w:r w:rsidRPr="009229F9">
        <w:rPr>
          <w:rFonts w:cstheme="minorHAnsi"/>
        </w:rPr>
        <w:t xml:space="preserve"> </w:t>
      </w:r>
    </w:p>
    <w:p w14:paraId="54E5F775" w14:textId="77777777" w:rsidR="004E074B" w:rsidRPr="009229F9" w:rsidRDefault="004E074B" w:rsidP="009229F9">
      <w:pPr>
        <w:rPr>
          <w:rFonts w:cstheme="minorHAnsi"/>
        </w:rPr>
      </w:pPr>
      <w:r w:rsidRPr="009229F9">
        <w:rPr>
          <w:rFonts w:cstheme="minorHAnsi"/>
        </w:rPr>
        <w:t xml:space="preserve">Under det fortsatta arbetet har ca 60 av de 140 </w:t>
      </w:r>
      <w:proofErr w:type="spellStart"/>
      <w:r w:rsidRPr="009229F9">
        <w:rPr>
          <w:rFonts w:cstheme="minorHAnsi"/>
        </w:rPr>
        <w:t>st</w:t>
      </w:r>
      <w:proofErr w:type="spellEnd"/>
      <w:r w:rsidRPr="009229F9">
        <w:rPr>
          <w:rFonts w:cstheme="minorHAnsi"/>
        </w:rPr>
        <w:t xml:space="preserve"> som beviljade i februari strukits, eftersom de inte har inkommit med någon korrekt redovisning till den satta sluttidpunkten 15:e oktober. Dessa har ersatts med ca 70 nya beviljade ansökningar med slutdatum för redovisning den 15:e december. Om analyserna skulle ha gjorts på gällande ansökningar efter dessa strykningar och nya beviljade ansökningar skulle bidrag per sparad kWh och kW blivit något högre eftersom de nya beviljade i gruppen anbud har sökt ett högre andel bidrag av sin totalkostnad än de strukna som de har ersatt.   </w:t>
      </w:r>
    </w:p>
    <w:p w14:paraId="15532DFB" w14:textId="77777777" w:rsidR="004E074B" w:rsidRPr="009229F9" w:rsidRDefault="004E074B" w:rsidP="009229F9">
      <w:pPr>
        <w:rPr>
          <w:rFonts w:cstheme="minorHAnsi"/>
        </w:rPr>
      </w:pPr>
      <w:r w:rsidRPr="009229F9">
        <w:rPr>
          <w:rFonts w:cstheme="minorHAnsi"/>
        </w:rPr>
        <w:t xml:space="preserve">De 192 </w:t>
      </w:r>
      <w:proofErr w:type="spellStart"/>
      <w:r w:rsidRPr="009229F9">
        <w:rPr>
          <w:rFonts w:cstheme="minorHAnsi"/>
        </w:rPr>
        <w:t>st</w:t>
      </w:r>
      <w:proofErr w:type="spellEnd"/>
      <w:r w:rsidRPr="009229F9">
        <w:rPr>
          <w:rFonts w:cstheme="minorHAnsi"/>
        </w:rPr>
        <w:t xml:space="preserve"> ansökningar som analysen baseras på har i ett första steg sorterats efter angiven ”Huvudsaklig uppvärmningsform” och ” Kompletterande uppvärmningsform” </w:t>
      </w:r>
    </w:p>
    <w:p w14:paraId="3317ADEE" w14:textId="77777777" w:rsidR="004E074B" w:rsidRPr="009229F9" w:rsidRDefault="004E074B" w:rsidP="009229F9">
      <w:pPr>
        <w:rPr>
          <w:rFonts w:cstheme="minorHAnsi"/>
        </w:rPr>
      </w:pPr>
      <w:r w:rsidRPr="009229F9">
        <w:rPr>
          <w:rFonts w:cstheme="minorHAnsi"/>
        </w:rPr>
        <w:t>Här finns en stor mängd varianter som har delats in i fyra huvudgrupper för de fortsatta beräkningarna.</w:t>
      </w:r>
    </w:p>
    <w:p w14:paraId="2E7862B2" w14:textId="77777777" w:rsidR="004E074B" w:rsidRPr="003827CB" w:rsidRDefault="004E074B" w:rsidP="003827CB">
      <w:pPr>
        <w:pStyle w:val="ListParagraph"/>
        <w:numPr>
          <w:ilvl w:val="0"/>
          <w:numId w:val="6"/>
        </w:numPr>
        <w:rPr>
          <w:rFonts w:cstheme="minorHAnsi"/>
        </w:rPr>
      </w:pPr>
      <w:r w:rsidRPr="003827CB">
        <w:rPr>
          <w:rFonts w:cstheme="minorHAnsi"/>
        </w:rPr>
        <w:t xml:space="preserve">”Elvärme” 27 st. Omfattar de som har angett direktverkande el eller vattenburen el som huvudsaklig uppvärmningsform) </w:t>
      </w:r>
    </w:p>
    <w:p w14:paraId="5B6F1B55" w14:textId="77777777" w:rsidR="004E074B" w:rsidRPr="003827CB" w:rsidRDefault="004E074B" w:rsidP="003827CB">
      <w:pPr>
        <w:pStyle w:val="ListParagraph"/>
        <w:numPr>
          <w:ilvl w:val="0"/>
          <w:numId w:val="6"/>
        </w:numPr>
        <w:rPr>
          <w:rFonts w:cstheme="minorHAnsi"/>
        </w:rPr>
      </w:pPr>
      <w:r w:rsidRPr="003827CB">
        <w:rPr>
          <w:rFonts w:cstheme="minorHAnsi"/>
        </w:rPr>
        <w:t>”Fjärrvärme” 45 st. Omfattar de som har angett fjärrvärme som huvudsaklig uppvärmningsform</w:t>
      </w:r>
    </w:p>
    <w:p w14:paraId="50786F75" w14:textId="77777777" w:rsidR="004E074B" w:rsidRPr="003827CB" w:rsidRDefault="004E074B" w:rsidP="003827CB">
      <w:pPr>
        <w:pStyle w:val="ListParagraph"/>
        <w:numPr>
          <w:ilvl w:val="0"/>
          <w:numId w:val="6"/>
        </w:numPr>
        <w:rPr>
          <w:rFonts w:cstheme="minorHAnsi"/>
        </w:rPr>
      </w:pPr>
      <w:r w:rsidRPr="003827CB">
        <w:rPr>
          <w:rFonts w:cstheme="minorHAnsi"/>
        </w:rPr>
        <w:t xml:space="preserve">”Värmepump” 108 </w:t>
      </w:r>
      <w:proofErr w:type="spellStart"/>
      <w:r w:rsidRPr="003827CB">
        <w:rPr>
          <w:rFonts w:cstheme="minorHAnsi"/>
        </w:rPr>
        <w:t>st</w:t>
      </w:r>
      <w:proofErr w:type="spellEnd"/>
      <w:r w:rsidRPr="003827CB">
        <w:rPr>
          <w:rFonts w:cstheme="minorHAnsi"/>
        </w:rPr>
        <w:t xml:space="preserve"> Omfattar de som har angivit värmepump antingen som huvudsaklig eller kompletterande uppvärmningsform (men då enbart de som har angett direktverkande el eller vattenburen el som huvudsaklig uppvärmningsform)</w:t>
      </w:r>
    </w:p>
    <w:p w14:paraId="3758C4B4" w14:textId="1ACAF5CF" w:rsidR="004E074B" w:rsidRPr="003827CB" w:rsidRDefault="004E074B" w:rsidP="003827CB">
      <w:pPr>
        <w:pStyle w:val="ListParagraph"/>
        <w:numPr>
          <w:ilvl w:val="0"/>
          <w:numId w:val="6"/>
        </w:numPr>
        <w:rPr>
          <w:rFonts w:cstheme="minorHAnsi"/>
        </w:rPr>
      </w:pPr>
      <w:r w:rsidRPr="003827CB">
        <w:rPr>
          <w:rFonts w:cstheme="minorHAnsi"/>
        </w:rPr>
        <w:t>”Övriga” 12 st.  Omfattar de som har angivit ”Annat system”, ”Naturgas, stadsgas”, ”Pellets</w:t>
      </w:r>
      <w:r w:rsidR="003827CB">
        <w:rPr>
          <w:rFonts w:cstheme="minorHAnsi"/>
        </w:rPr>
        <w:t>”</w:t>
      </w:r>
    </w:p>
    <w:p w14:paraId="637F0820" w14:textId="77777777" w:rsidR="004E074B" w:rsidRPr="009229F9" w:rsidRDefault="004E074B" w:rsidP="009229F9">
      <w:pPr>
        <w:rPr>
          <w:rFonts w:cstheme="minorHAnsi"/>
        </w:rPr>
      </w:pPr>
      <w:r w:rsidRPr="009229F9">
        <w:rPr>
          <w:rFonts w:cstheme="minorHAnsi"/>
        </w:rPr>
        <w:t xml:space="preserve">Eftersom studiens fokus ligger på sparad el och fjärrvärme har den sistnämnda gruppen ”Övriga” tagits bort för den fortsatta analysen. Det finns en viss </w:t>
      </w:r>
      <w:proofErr w:type="spellStart"/>
      <w:r w:rsidRPr="009229F9">
        <w:rPr>
          <w:rFonts w:cstheme="minorHAnsi"/>
        </w:rPr>
        <w:t>elbesparing</w:t>
      </w:r>
      <w:proofErr w:type="spellEnd"/>
      <w:r w:rsidRPr="009229F9">
        <w:rPr>
          <w:rFonts w:cstheme="minorHAnsi"/>
        </w:rPr>
        <w:t xml:space="preserve"> även i den gruppen (total drygt 1000 kWh vid byte av kyl/frys) men detta är mycket marginellt i förhållande till de bidrag som sökts i gruppen (ca 100 000 kr) som ju t.ex. avser fönsterbyten (med besparingar av olja, gas eller biobränsle).</w:t>
      </w:r>
    </w:p>
    <w:p w14:paraId="23BAAEDD" w14:textId="7744D146" w:rsidR="004E074B" w:rsidRPr="009229F9" w:rsidRDefault="004E074B" w:rsidP="009229F9">
      <w:pPr>
        <w:rPr>
          <w:rFonts w:cstheme="minorHAnsi"/>
        </w:rPr>
      </w:pPr>
      <w:r w:rsidRPr="009229F9">
        <w:rPr>
          <w:rFonts w:cstheme="minorHAnsi"/>
        </w:rPr>
        <w:t xml:space="preserve">Efter denna anpassning kvarstod 180 ansökningar som bas för beräkning av energi- och effektbesparing.  </w:t>
      </w:r>
    </w:p>
    <w:p w14:paraId="4BD31553" w14:textId="77777777" w:rsidR="004E074B" w:rsidRPr="009229F9" w:rsidRDefault="004E074B" w:rsidP="009229F9">
      <w:pPr>
        <w:rPr>
          <w:rFonts w:cstheme="minorHAnsi"/>
        </w:rPr>
      </w:pPr>
      <w:r w:rsidRPr="009229F9">
        <w:rPr>
          <w:rFonts w:cstheme="minorHAnsi"/>
        </w:rPr>
        <w:t>Dessa ansökningar omfattar följande åtgärder och kostnader för dessa (före bidrag):</w:t>
      </w:r>
    </w:p>
    <w:tbl>
      <w:tblPr>
        <w:tblStyle w:val="TableGrid"/>
        <w:tblW w:w="9351" w:type="dxa"/>
        <w:tblLook w:val="04A0" w:firstRow="1" w:lastRow="0" w:firstColumn="1" w:lastColumn="0" w:noHBand="0" w:noVBand="1"/>
      </w:tblPr>
      <w:tblGrid>
        <w:gridCol w:w="704"/>
        <w:gridCol w:w="853"/>
        <w:gridCol w:w="990"/>
        <w:gridCol w:w="850"/>
        <w:gridCol w:w="851"/>
        <w:gridCol w:w="1073"/>
        <w:gridCol w:w="770"/>
        <w:gridCol w:w="1019"/>
        <w:gridCol w:w="965"/>
        <w:gridCol w:w="1276"/>
      </w:tblGrid>
      <w:tr w:rsidR="004E074B" w:rsidRPr="009229F9" w14:paraId="5FD17A61" w14:textId="77777777" w:rsidTr="007A3668">
        <w:trPr>
          <w:trHeight w:val="290"/>
        </w:trPr>
        <w:tc>
          <w:tcPr>
            <w:tcW w:w="2547" w:type="dxa"/>
            <w:gridSpan w:val="3"/>
            <w:noWrap/>
            <w:hideMark/>
          </w:tcPr>
          <w:p w14:paraId="7BE5DE1A" w14:textId="77777777" w:rsidR="004E074B" w:rsidRPr="009229F9" w:rsidRDefault="004E074B" w:rsidP="009229F9">
            <w:pPr>
              <w:rPr>
                <w:rFonts w:cstheme="minorHAnsi"/>
                <w:sz w:val="18"/>
                <w:szCs w:val="18"/>
              </w:rPr>
            </w:pPr>
            <w:r w:rsidRPr="009229F9">
              <w:rPr>
                <w:rFonts w:cstheme="minorHAnsi"/>
                <w:sz w:val="18"/>
                <w:szCs w:val="18"/>
              </w:rPr>
              <w:t>Byta fönster</w:t>
            </w:r>
          </w:p>
        </w:tc>
        <w:tc>
          <w:tcPr>
            <w:tcW w:w="2774" w:type="dxa"/>
            <w:gridSpan w:val="3"/>
            <w:noWrap/>
            <w:hideMark/>
          </w:tcPr>
          <w:p w14:paraId="3C867A31" w14:textId="77777777" w:rsidR="004E074B" w:rsidRPr="009229F9" w:rsidRDefault="004E074B" w:rsidP="009229F9">
            <w:pPr>
              <w:rPr>
                <w:rFonts w:cstheme="minorHAnsi"/>
                <w:sz w:val="18"/>
                <w:szCs w:val="18"/>
              </w:rPr>
            </w:pPr>
            <w:r w:rsidRPr="009229F9">
              <w:rPr>
                <w:rFonts w:cstheme="minorHAnsi"/>
                <w:sz w:val="18"/>
                <w:szCs w:val="18"/>
              </w:rPr>
              <w:t>Energirenovera fönster</w:t>
            </w:r>
          </w:p>
        </w:tc>
        <w:tc>
          <w:tcPr>
            <w:tcW w:w="1789" w:type="dxa"/>
            <w:gridSpan w:val="2"/>
            <w:noWrap/>
            <w:hideMark/>
          </w:tcPr>
          <w:p w14:paraId="0E0A6F43" w14:textId="77777777" w:rsidR="004E074B" w:rsidRPr="009229F9" w:rsidRDefault="004E074B" w:rsidP="009229F9">
            <w:pPr>
              <w:rPr>
                <w:rFonts w:cstheme="minorHAnsi"/>
                <w:sz w:val="18"/>
                <w:szCs w:val="18"/>
              </w:rPr>
            </w:pPr>
            <w:r w:rsidRPr="009229F9">
              <w:rPr>
                <w:rFonts w:cstheme="minorHAnsi"/>
                <w:sz w:val="18"/>
                <w:szCs w:val="18"/>
              </w:rPr>
              <w:t>Byta ytterdörr</w:t>
            </w:r>
          </w:p>
        </w:tc>
        <w:tc>
          <w:tcPr>
            <w:tcW w:w="2241" w:type="dxa"/>
            <w:gridSpan w:val="2"/>
            <w:noWrap/>
            <w:hideMark/>
          </w:tcPr>
          <w:p w14:paraId="415B1F6D" w14:textId="77777777" w:rsidR="004E074B" w:rsidRPr="009229F9" w:rsidRDefault="004E074B" w:rsidP="009229F9">
            <w:pPr>
              <w:rPr>
                <w:rFonts w:cstheme="minorHAnsi"/>
                <w:sz w:val="18"/>
                <w:szCs w:val="18"/>
              </w:rPr>
            </w:pPr>
            <w:r w:rsidRPr="009229F9">
              <w:rPr>
                <w:rFonts w:cstheme="minorHAnsi"/>
                <w:sz w:val="18"/>
                <w:szCs w:val="18"/>
              </w:rPr>
              <w:t>Byta kyl, frys eller kombinerad kyl/frys</w:t>
            </w:r>
          </w:p>
        </w:tc>
      </w:tr>
      <w:tr w:rsidR="004E074B" w:rsidRPr="009229F9" w14:paraId="4191E58F" w14:textId="77777777" w:rsidTr="007A3668">
        <w:trPr>
          <w:trHeight w:val="290"/>
        </w:trPr>
        <w:tc>
          <w:tcPr>
            <w:tcW w:w="704" w:type="dxa"/>
            <w:noWrap/>
            <w:hideMark/>
          </w:tcPr>
          <w:p w14:paraId="0250B6A8" w14:textId="77777777" w:rsidR="004E074B" w:rsidRPr="009229F9" w:rsidRDefault="004E074B" w:rsidP="009229F9">
            <w:pPr>
              <w:rPr>
                <w:rFonts w:cstheme="minorHAnsi"/>
                <w:sz w:val="18"/>
                <w:szCs w:val="18"/>
              </w:rPr>
            </w:pPr>
            <w:r w:rsidRPr="009229F9">
              <w:rPr>
                <w:rFonts w:cstheme="minorHAnsi"/>
                <w:sz w:val="18"/>
                <w:szCs w:val="18"/>
              </w:rPr>
              <w:t>Antal</w:t>
            </w:r>
          </w:p>
        </w:tc>
        <w:tc>
          <w:tcPr>
            <w:tcW w:w="853" w:type="dxa"/>
            <w:noWrap/>
            <w:hideMark/>
          </w:tcPr>
          <w:p w14:paraId="6D7BEF38" w14:textId="77777777" w:rsidR="004E074B" w:rsidRPr="009229F9" w:rsidRDefault="004E074B" w:rsidP="009229F9">
            <w:pPr>
              <w:rPr>
                <w:rFonts w:cstheme="minorHAnsi"/>
                <w:sz w:val="18"/>
                <w:szCs w:val="18"/>
              </w:rPr>
            </w:pPr>
            <w:r w:rsidRPr="009229F9">
              <w:rPr>
                <w:rFonts w:cstheme="minorHAnsi"/>
                <w:sz w:val="18"/>
                <w:szCs w:val="18"/>
              </w:rPr>
              <w:t>Antal m²</w:t>
            </w:r>
          </w:p>
        </w:tc>
        <w:tc>
          <w:tcPr>
            <w:tcW w:w="990" w:type="dxa"/>
            <w:noWrap/>
            <w:hideMark/>
          </w:tcPr>
          <w:p w14:paraId="46952D48" w14:textId="77777777" w:rsidR="004E074B" w:rsidRPr="009229F9" w:rsidRDefault="004E074B" w:rsidP="009229F9">
            <w:pPr>
              <w:rPr>
                <w:rFonts w:cstheme="minorHAnsi"/>
                <w:sz w:val="18"/>
                <w:szCs w:val="18"/>
              </w:rPr>
            </w:pPr>
            <w:r w:rsidRPr="009229F9">
              <w:rPr>
                <w:rFonts w:cstheme="minorHAnsi"/>
                <w:sz w:val="18"/>
                <w:szCs w:val="18"/>
              </w:rPr>
              <w:t xml:space="preserve">Kostnad </w:t>
            </w:r>
          </w:p>
        </w:tc>
        <w:tc>
          <w:tcPr>
            <w:tcW w:w="850" w:type="dxa"/>
            <w:noWrap/>
            <w:hideMark/>
          </w:tcPr>
          <w:p w14:paraId="63F71053" w14:textId="77777777" w:rsidR="004E074B" w:rsidRPr="009229F9" w:rsidRDefault="004E074B" w:rsidP="009229F9">
            <w:pPr>
              <w:rPr>
                <w:rFonts w:cstheme="minorHAnsi"/>
                <w:sz w:val="18"/>
                <w:szCs w:val="18"/>
              </w:rPr>
            </w:pPr>
            <w:r w:rsidRPr="009229F9">
              <w:rPr>
                <w:rFonts w:cstheme="minorHAnsi"/>
                <w:sz w:val="18"/>
                <w:szCs w:val="18"/>
              </w:rPr>
              <w:t>Antal</w:t>
            </w:r>
          </w:p>
        </w:tc>
        <w:tc>
          <w:tcPr>
            <w:tcW w:w="851" w:type="dxa"/>
            <w:noWrap/>
            <w:hideMark/>
          </w:tcPr>
          <w:p w14:paraId="183A32F2" w14:textId="77777777" w:rsidR="004E074B" w:rsidRPr="009229F9" w:rsidRDefault="004E074B" w:rsidP="009229F9">
            <w:pPr>
              <w:rPr>
                <w:rFonts w:cstheme="minorHAnsi"/>
                <w:sz w:val="18"/>
                <w:szCs w:val="18"/>
              </w:rPr>
            </w:pPr>
            <w:r w:rsidRPr="009229F9">
              <w:rPr>
                <w:rFonts w:cstheme="minorHAnsi"/>
                <w:sz w:val="18"/>
                <w:szCs w:val="18"/>
              </w:rPr>
              <w:t>Antal m²</w:t>
            </w:r>
          </w:p>
        </w:tc>
        <w:tc>
          <w:tcPr>
            <w:tcW w:w="1073" w:type="dxa"/>
            <w:noWrap/>
            <w:hideMark/>
          </w:tcPr>
          <w:p w14:paraId="0BC12BE2" w14:textId="77777777" w:rsidR="004E074B" w:rsidRPr="009229F9" w:rsidRDefault="004E074B" w:rsidP="009229F9">
            <w:pPr>
              <w:rPr>
                <w:rFonts w:cstheme="minorHAnsi"/>
                <w:sz w:val="18"/>
                <w:szCs w:val="18"/>
              </w:rPr>
            </w:pPr>
            <w:r w:rsidRPr="009229F9">
              <w:rPr>
                <w:rFonts w:cstheme="minorHAnsi"/>
                <w:sz w:val="18"/>
                <w:szCs w:val="18"/>
              </w:rPr>
              <w:t>Kostnad</w:t>
            </w:r>
          </w:p>
        </w:tc>
        <w:tc>
          <w:tcPr>
            <w:tcW w:w="770" w:type="dxa"/>
            <w:noWrap/>
            <w:hideMark/>
          </w:tcPr>
          <w:p w14:paraId="0CBD38E6" w14:textId="77777777" w:rsidR="004E074B" w:rsidRPr="009229F9" w:rsidRDefault="004E074B" w:rsidP="009229F9">
            <w:pPr>
              <w:rPr>
                <w:rFonts w:cstheme="minorHAnsi"/>
                <w:sz w:val="18"/>
                <w:szCs w:val="18"/>
              </w:rPr>
            </w:pPr>
            <w:r w:rsidRPr="009229F9">
              <w:rPr>
                <w:rFonts w:cstheme="minorHAnsi"/>
                <w:sz w:val="18"/>
                <w:szCs w:val="18"/>
              </w:rPr>
              <w:t>Antal</w:t>
            </w:r>
          </w:p>
        </w:tc>
        <w:tc>
          <w:tcPr>
            <w:tcW w:w="1019" w:type="dxa"/>
            <w:noWrap/>
            <w:hideMark/>
          </w:tcPr>
          <w:p w14:paraId="523C8115" w14:textId="77777777" w:rsidR="004E074B" w:rsidRPr="009229F9" w:rsidRDefault="004E074B" w:rsidP="009229F9">
            <w:pPr>
              <w:rPr>
                <w:rFonts w:cstheme="minorHAnsi"/>
                <w:sz w:val="18"/>
                <w:szCs w:val="18"/>
              </w:rPr>
            </w:pPr>
            <w:r w:rsidRPr="009229F9">
              <w:rPr>
                <w:rFonts w:cstheme="minorHAnsi"/>
                <w:sz w:val="18"/>
                <w:szCs w:val="18"/>
              </w:rPr>
              <w:t>Kostnad</w:t>
            </w:r>
          </w:p>
        </w:tc>
        <w:tc>
          <w:tcPr>
            <w:tcW w:w="965" w:type="dxa"/>
            <w:noWrap/>
            <w:hideMark/>
          </w:tcPr>
          <w:p w14:paraId="7630DEF0" w14:textId="77777777" w:rsidR="004E074B" w:rsidRPr="009229F9" w:rsidRDefault="004E074B" w:rsidP="009229F9">
            <w:pPr>
              <w:rPr>
                <w:rFonts w:cstheme="minorHAnsi"/>
                <w:sz w:val="18"/>
                <w:szCs w:val="18"/>
              </w:rPr>
            </w:pPr>
            <w:r w:rsidRPr="009229F9">
              <w:rPr>
                <w:rFonts w:cstheme="minorHAnsi"/>
                <w:sz w:val="18"/>
                <w:szCs w:val="18"/>
              </w:rPr>
              <w:t>Antal</w:t>
            </w:r>
          </w:p>
        </w:tc>
        <w:tc>
          <w:tcPr>
            <w:tcW w:w="1276" w:type="dxa"/>
            <w:noWrap/>
            <w:hideMark/>
          </w:tcPr>
          <w:p w14:paraId="4BE594FF" w14:textId="77777777" w:rsidR="004E074B" w:rsidRPr="009229F9" w:rsidRDefault="004E074B" w:rsidP="009229F9">
            <w:pPr>
              <w:rPr>
                <w:rFonts w:cstheme="minorHAnsi"/>
                <w:sz w:val="18"/>
                <w:szCs w:val="18"/>
              </w:rPr>
            </w:pPr>
            <w:r w:rsidRPr="009229F9">
              <w:rPr>
                <w:rFonts w:cstheme="minorHAnsi"/>
                <w:sz w:val="18"/>
                <w:szCs w:val="18"/>
              </w:rPr>
              <w:t>Kostnad</w:t>
            </w:r>
          </w:p>
        </w:tc>
      </w:tr>
      <w:tr w:rsidR="004E074B" w:rsidRPr="009229F9" w14:paraId="4E01E922" w14:textId="77777777" w:rsidTr="007A3668">
        <w:trPr>
          <w:trHeight w:val="290"/>
        </w:trPr>
        <w:tc>
          <w:tcPr>
            <w:tcW w:w="704" w:type="dxa"/>
            <w:noWrap/>
            <w:hideMark/>
          </w:tcPr>
          <w:p w14:paraId="15208082" w14:textId="77777777" w:rsidR="004E074B" w:rsidRPr="009229F9" w:rsidRDefault="004E074B" w:rsidP="009229F9">
            <w:pPr>
              <w:rPr>
                <w:rFonts w:cstheme="minorHAnsi"/>
                <w:sz w:val="18"/>
                <w:szCs w:val="18"/>
              </w:rPr>
            </w:pPr>
            <w:r w:rsidRPr="009229F9">
              <w:rPr>
                <w:rFonts w:cstheme="minorHAnsi"/>
                <w:sz w:val="18"/>
                <w:szCs w:val="18"/>
              </w:rPr>
              <w:t>934</w:t>
            </w:r>
          </w:p>
        </w:tc>
        <w:tc>
          <w:tcPr>
            <w:tcW w:w="853" w:type="dxa"/>
            <w:noWrap/>
            <w:hideMark/>
          </w:tcPr>
          <w:p w14:paraId="1AEEC1BD" w14:textId="77777777" w:rsidR="004E074B" w:rsidRPr="009229F9" w:rsidRDefault="004E074B" w:rsidP="009229F9">
            <w:pPr>
              <w:rPr>
                <w:rFonts w:cstheme="minorHAnsi"/>
                <w:sz w:val="18"/>
                <w:szCs w:val="18"/>
              </w:rPr>
            </w:pPr>
            <w:r w:rsidRPr="009229F9">
              <w:rPr>
                <w:rFonts w:cstheme="minorHAnsi"/>
                <w:sz w:val="18"/>
                <w:szCs w:val="18"/>
              </w:rPr>
              <w:t>1667</w:t>
            </w:r>
          </w:p>
        </w:tc>
        <w:tc>
          <w:tcPr>
            <w:tcW w:w="990" w:type="dxa"/>
            <w:noWrap/>
            <w:hideMark/>
          </w:tcPr>
          <w:p w14:paraId="548B2036" w14:textId="77777777" w:rsidR="004E074B" w:rsidRPr="009229F9" w:rsidRDefault="004E074B" w:rsidP="009229F9">
            <w:pPr>
              <w:rPr>
                <w:rFonts w:cstheme="minorHAnsi"/>
                <w:sz w:val="18"/>
                <w:szCs w:val="18"/>
              </w:rPr>
            </w:pPr>
            <w:r w:rsidRPr="009229F9">
              <w:rPr>
                <w:rFonts w:cstheme="minorHAnsi"/>
                <w:sz w:val="18"/>
                <w:szCs w:val="18"/>
              </w:rPr>
              <w:t>9 118 706</w:t>
            </w:r>
          </w:p>
        </w:tc>
        <w:tc>
          <w:tcPr>
            <w:tcW w:w="850" w:type="dxa"/>
            <w:noWrap/>
            <w:hideMark/>
          </w:tcPr>
          <w:p w14:paraId="785FAC6D" w14:textId="77777777" w:rsidR="004E074B" w:rsidRPr="009229F9" w:rsidRDefault="004E074B" w:rsidP="009229F9">
            <w:pPr>
              <w:rPr>
                <w:rFonts w:cstheme="minorHAnsi"/>
                <w:sz w:val="18"/>
                <w:szCs w:val="18"/>
              </w:rPr>
            </w:pPr>
            <w:r w:rsidRPr="009229F9">
              <w:rPr>
                <w:rFonts w:cstheme="minorHAnsi"/>
                <w:sz w:val="18"/>
                <w:szCs w:val="18"/>
              </w:rPr>
              <w:t>59</w:t>
            </w:r>
          </w:p>
        </w:tc>
        <w:tc>
          <w:tcPr>
            <w:tcW w:w="851" w:type="dxa"/>
            <w:noWrap/>
            <w:hideMark/>
          </w:tcPr>
          <w:p w14:paraId="0966D89F" w14:textId="77777777" w:rsidR="004E074B" w:rsidRPr="009229F9" w:rsidRDefault="004E074B" w:rsidP="009229F9">
            <w:pPr>
              <w:rPr>
                <w:rFonts w:cstheme="minorHAnsi"/>
                <w:sz w:val="18"/>
                <w:szCs w:val="18"/>
              </w:rPr>
            </w:pPr>
            <w:r w:rsidRPr="009229F9">
              <w:rPr>
                <w:rFonts w:cstheme="minorHAnsi"/>
                <w:sz w:val="18"/>
                <w:szCs w:val="18"/>
              </w:rPr>
              <w:t>127</w:t>
            </w:r>
          </w:p>
        </w:tc>
        <w:tc>
          <w:tcPr>
            <w:tcW w:w="1073" w:type="dxa"/>
            <w:noWrap/>
            <w:hideMark/>
          </w:tcPr>
          <w:p w14:paraId="49910B87" w14:textId="77777777" w:rsidR="004E074B" w:rsidRPr="009229F9" w:rsidRDefault="004E074B" w:rsidP="009229F9">
            <w:pPr>
              <w:rPr>
                <w:rFonts w:cstheme="minorHAnsi"/>
                <w:sz w:val="18"/>
                <w:szCs w:val="18"/>
              </w:rPr>
            </w:pPr>
            <w:r w:rsidRPr="009229F9">
              <w:rPr>
                <w:rFonts w:cstheme="minorHAnsi"/>
                <w:sz w:val="18"/>
                <w:szCs w:val="18"/>
              </w:rPr>
              <w:t>428 150</w:t>
            </w:r>
          </w:p>
        </w:tc>
        <w:tc>
          <w:tcPr>
            <w:tcW w:w="770" w:type="dxa"/>
            <w:noWrap/>
            <w:hideMark/>
          </w:tcPr>
          <w:p w14:paraId="5C74039F" w14:textId="77777777" w:rsidR="004E074B" w:rsidRPr="009229F9" w:rsidRDefault="004E074B" w:rsidP="009229F9">
            <w:pPr>
              <w:rPr>
                <w:rFonts w:cstheme="minorHAnsi"/>
                <w:sz w:val="18"/>
                <w:szCs w:val="18"/>
              </w:rPr>
            </w:pPr>
            <w:r w:rsidRPr="009229F9">
              <w:rPr>
                <w:rFonts w:cstheme="minorHAnsi"/>
                <w:sz w:val="18"/>
                <w:szCs w:val="18"/>
              </w:rPr>
              <w:t>164</w:t>
            </w:r>
          </w:p>
        </w:tc>
        <w:tc>
          <w:tcPr>
            <w:tcW w:w="1019" w:type="dxa"/>
            <w:noWrap/>
            <w:hideMark/>
          </w:tcPr>
          <w:p w14:paraId="69BBD2D6" w14:textId="77777777" w:rsidR="004E074B" w:rsidRPr="009229F9" w:rsidRDefault="004E074B" w:rsidP="009229F9">
            <w:pPr>
              <w:rPr>
                <w:rFonts w:cstheme="minorHAnsi"/>
                <w:sz w:val="18"/>
                <w:szCs w:val="18"/>
              </w:rPr>
            </w:pPr>
            <w:r w:rsidRPr="009229F9">
              <w:rPr>
                <w:rFonts w:cstheme="minorHAnsi"/>
                <w:sz w:val="18"/>
                <w:szCs w:val="18"/>
              </w:rPr>
              <w:t>2 727 569</w:t>
            </w:r>
          </w:p>
        </w:tc>
        <w:tc>
          <w:tcPr>
            <w:tcW w:w="965" w:type="dxa"/>
            <w:noWrap/>
            <w:hideMark/>
          </w:tcPr>
          <w:p w14:paraId="6594410B" w14:textId="77777777" w:rsidR="004E074B" w:rsidRPr="009229F9" w:rsidRDefault="004E074B" w:rsidP="009229F9">
            <w:pPr>
              <w:rPr>
                <w:rFonts w:cstheme="minorHAnsi"/>
                <w:sz w:val="18"/>
                <w:szCs w:val="18"/>
              </w:rPr>
            </w:pPr>
            <w:r w:rsidRPr="009229F9">
              <w:rPr>
                <w:rFonts w:cstheme="minorHAnsi"/>
                <w:sz w:val="18"/>
                <w:szCs w:val="18"/>
              </w:rPr>
              <w:t>106</w:t>
            </w:r>
          </w:p>
        </w:tc>
        <w:tc>
          <w:tcPr>
            <w:tcW w:w="1276" w:type="dxa"/>
            <w:noWrap/>
            <w:hideMark/>
          </w:tcPr>
          <w:p w14:paraId="03903305" w14:textId="77777777" w:rsidR="004E074B" w:rsidRPr="009229F9" w:rsidRDefault="004E074B" w:rsidP="009229F9">
            <w:pPr>
              <w:rPr>
                <w:rFonts w:cstheme="minorHAnsi"/>
                <w:sz w:val="18"/>
                <w:szCs w:val="18"/>
              </w:rPr>
            </w:pPr>
            <w:r w:rsidRPr="009229F9">
              <w:rPr>
                <w:rFonts w:cstheme="minorHAnsi"/>
                <w:sz w:val="18"/>
                <w:szCs w:val="18"/>
              </w:rPr>
              <w:t>1 064 823</w:t>
            </w:r>
          </w:p>
        </w:tc>
      </w:tr>
    </w:tbl>
    <w:p w14:paraId="3A599E89" w14:textId="77777777" w:rsidR="004E074B" w:rsidRPr="009229F9" w:rsidRDefault="004E074B" w:rsidP="009229F9">
      <w:pPr>
        <w:rPr>
          <w:rFonts w:cstheme="minorHAnsi"/>
        </w:rPr>
      </w:pPr>
    </w:p>
    <w:p w14:paraId="1B23B7CD" w14:textId="77777777" w:rsidR="004E074B" w:rsidRPr="009229F9" w:rsidRDefault="004E074B" w:rsidP="003827CB">
      <w:pPr>
        <w:pStyle w:val="Heading3"/>
      </w:pPr>
      <w:r w:rsidRPr="009229F9">
        <w:t xml:space="preserve">Antaganden för beräkningen </w:t>
      </w:r>
    </w:p>
    <w:p w14:paraId="444EF8A2" w14:textId="77777777" w:rsidR="004E074B" w:rsidRPr="009229F9" w:rsidRDefault="004E074B" w:rsidP="009229F9">
      <w:pPr>
        <w:rPr>
          <w:rFonts w:cstheme="minorHAnsi"/>
        </w:rPr>
      </w:pPr>
      <w:r w:rsidRPr="009229F9">
        <w:rPr>
          <w:rFonts w:cstheme="minorHAnsi"/>
        </w:rPr>
        <w:t xml:space="preserve">För att kunna beräkna energi-och effektbesparingar har olika faktorer antagits för de olika åtgärderna. Dessutom har hänsyn tagits aktuellt uppvärmningssystem (grupperat enligt ovan). Uppenbart spar fönsterbyte fjärrvärme i ett fjärrvärmevärmt hus och el i ett eluppvärmt. I de hus som värms med hjälp av värmepump blir dessutom </w:t>
      </w:r>
      <w:proofErr w:type="spellStart"/>
      <w:r w:rsidRPr="009229F9">
        <w:rPr>
          <w:rFonts w:cstheme="minorHAnsi"/>
        </w:rPr>
        <w:t>elbesparingen</w:t>
      </w:r>
      <w:proofErr w:type="spellEnd"/>
      <w:r w:rsidRPr="009229F9">
        <w:rPr>
          <w:rFonts w:cstheme="minorHAnsi"/>
        </w:rPr>
        <w:t xml:space="preserve"> mindre än om man har t.ex. direktverkande el. Ytterligare komplext blir det när man försöker uppskatta besparingar vid byte av </w:t>
      </w:r>
      <w:r w:rsidRPr="009229F9">
        <w:rPr>
          <w:rFonts w:cstheme="minorHAnsi"/>
        </w:rPr>
        <w:lastRenderedPageBreak/>
        <w:t xml:space="preserve">kyl- eller frys.  Deras </w:t>
      </w:r>
      <w:proofErr w:type="spellStart"/>
      <w:r w:rsidRPr="009229F9">
        <w:rPr>
          <w:rFonts w:cstheme="minorHAnsi"/>
        </w:rPr>
        <w:t>restvärme</w:t>
      </w:r>
      <w:proofErr w:type="spellEnd"/>
      <w:r w:rsidRPr="009229F9">
        <w:rPr>
          <w:rFonts w:cstheme="minorHAnsi"/>
        </w:rPr>
        <w:t xml:space="preserve"> bidrar till husets uppvärmning under vintern vilket man behöver ta hänsyn till. </w:t>
      </w:r>
    </w:p>
    <w:p w14:paraId="24A52B6E" w14:textId="77777777" w:rsidR="004E074B" w:rsidRPr="009229F9" w:rsidRDefault="004E074B" w:rsidP="003827CB">
      <w:pPr>
        <w:pStyle w:val="Heading4"/>
      </w:pPr>
      <w:r w:rsidRPr="009229F9">
        <w:t>Antaganden för fönster och dörrar</w:t>
      </w:r>
    </w:p>
    <w:p w14:paraId="6F7FE6DC" w14:textId="77777777" w:rsidR="004E074B" w:rsidRPr="009229F9" w:rsidRDefault="004E074B" w:rsidP="009229F9">
      <w:pPr>
        <w:rPr>
          <w:rFonts w:cstheme="minorHAnsi"/>
        </w:rPr>
      </w:pPr>
      <w:r w:rsidRPr="009229F9">
        <w:rPr>
          <w:rFonts w:cstheme="minorHAnsi"/>
          <w:noProof/>
        </w:rPr>
        <w:drawing>
          <wp:inline distT="0" distB="0" distL="0" distR="0" wp14:anchorId="1701B8E6" wp14:editId="381F1790">
            <wp:extent cx="5760720" cy="13163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1316355"/>
                    </a:xfrm>
                    <a:prstGeom prst="rect">
                      <a:avLst/>
                    </a:prstGeom>
                    <a:noFill/>
                    <a:ln>
                      <a:noFill/>
                    </a:ln>
                  </pic:spPr>
                </pic:pic>
              </a:graphicData>
            </a:graphic>
          </wp:inline>
        </w:drawing>
      </w:r>
    </w:p>
    <w:p w14:paraId="18C88634" w14:textId="7C8142D2" w:rsidR="004E074B" w:rsidRPr="009229F9" w:rsidRDefault="004E074B" w:rsidP="009229F9">
      <w:pPr>
        <w:rPr>
          <w:rFonts w:cstheme="minorHAnsi"/>
        </w:rPr>
      </w:pPr>
      <w:r w:rsidRPr="009229F9">
        <w:rPr>
          <w:rFonts w:cstheme="minorHAnsi"/>
        </w:rPr>
        <w:t xml:space="preserve">De antagna U-värdena efter åtgärder följer de krav som har ställs för att få bidraget. U-värdena före åtgärd är bedömningar utifrån att de flesta fönsteråtgärder görs på två-glas fönster (U-värde runt 2,8 men att kanske en del åtgärdar görs på fönster med lite bättre U-värde, därav 2,5. Antagandet om utgångsläge vid dörrbyten är mycket svårt att göra men en grov uppskattning är att U-värdet kan förbättras med 1,0. Antagandet om temperaturdifferens (inomhus och utomhus) är 33 grader, vilket bygger på en antagen inomhustemperatur av 21 grader C och en dimensionerande </w:t>
      </w:r>
      <w:proofErr w:type="spellStart"/>
      <w:r w:rsidRPr="009229F9">
        <w:rPr>
          <w:rFonts w:cstheme="minorHAnsi"/>
        </w:rPr>
        <w:t>vinterutetemperatur</w:t>
      </w:r>
      <w:proofErr w:type="spellEnd"/>
      <w:r w:rsidRPr="009229F9">
        <w:rPr>
          <w:rFonts w:cstheme="minorHAnsi"/>
        </w:rPr>
        <w:t xml:space="preserve"> (DVUT) i Göteborg som är -12,3 grader C (1-dygnsvärdet). För att räkna fram hur mycket värmeenergi som sparas har en varaktighetsfaktor 2400 timmar använts (baserat på att man brukar räkna 80 000 gradtimmar Göteborg). </w:t>
      </w:r>
    </w:p>
    <w:p w14:paraId="5FD12B2A" w14:textId="77777777" w:rsidR="004E074B" w:rsidRPr="009229F9" w:rsidRDefault="004E074B" w:rsidP="009229F9">
      <w:pPr>
        <w:rPr>
          <w:rFonts w:cstheme="minorHAnsi"/>
        </w:rPr>
      </w:pPr>
      <w:r w:rsidRPr="009229F9">
        <w:rPr>
          <w:rFonts w:cstheme="minorHAnsi"/>
        </w:rPr>
        <w:t xml:space="preserve">Tabellen ovan anger sparad värmeeffekt och värmeenergi oavsett hur uppvärmningen sker. I hus med ren elvärme </w:t>
      </w:r>
      <w:proofErr w:type="spellStart"/>
      <w:r w:rsidRPr="009229F9">
        <w:rPr>
          <w:rFonts w:cstheme="minorHAnsi"/>
        </w:rPr>
        <w:t>resp</w:t>
      </w:r>
      <w:proofErr w:type="spellEnd"/>
      <w:r w:rsidRPr="009229F9">
        <w:rPr>
          <w:rFonts w:cstheme="minorHAnsi"/>
        </w:rPr>
        <w:t xml:space="preserve"> fjärrvärme kan man anta att besparingen blir 1:1 för sparad värme och köpt värme.  I hus som värms med värmepump blir besparingen mindre på grund av att värmepumpens verkningsgrad är större än 1:1. Här har antagits ett årsmedel på 2,5:1. Dvs 1 kWh sparad uppvärmningsenergi sparar 0,4 kWh el. Besparingen i köpt energi kan vara lägre för hus med bergvärmesystem men även högre i de hus som har elvärme i kombination med luftvärmepump. </w:t>
      </w:r>
      <w:r w:rsidRPr="009229F9">
        <w:rPr>
          <w:rFonts w:cstheme="minorHAnsi"/>
        </w:rPr>
        <w:br/>
        <w:t xml:space="preserve">När det gäller effektbesparingen när det är som kallast (vi räknar vid -12 grader C) behöver man ta hänsyn till att uteluftvärmepumpar får en verkningsgrad som närmar sig 1:1 (och att då annan ren elvärme får gå in och stödja). Vi har är antagit ett snitt på något som ligger kring 2:1, dvs 1 kW sparad uppvärmningsenergi ger 0,5 kW sparad el. </w:t>
      </w:r>
    </w:p>
    <w:p w14:paraId="7671E5E3" w14:textId="77777777" w:rsidR="004E074B" w:rsidRPr="009229F9" w:rsidRDefault="004E074B" w:rsidP="003827CB">
      <w:pPr>
        <w:pStyle w:val="Heading4"/>
      </w:pPr>
      <w:r w:rsidRPr="009229F9">
        <w:t>Antaganden för kyl/frys</w:t>
      </w:r>
    </w:p>
    <w:p w14:paraId="0A8D2A6E" w14:textId="77777777" w:rsidR="004E074B" w:rsidRPr="009229F9" w:rsidRDefault="004E074B" w:rsidP="009229F9">
      <w:pPr>
        <w:rPr>
          <w:rFonts w:cstheme="minorHAnsi"/>
        </w:rPr>
      </w:pPr>
      <w:r w:rsidRPr="009229F9">
        <w:rPr>
          <w:rFonts w:cstheme="minorHAnsi"/>
        </w:rPr>
        <w:t>Deltagarna har kunnat söka bidrag för att byta ut kylskåp, frys eller kombinerad kyl/frys. Genom att titta på angegivet årsenergibehov för äldre kyl-och frysutrustning och jämföra med nya i klassade som A++</w:t>
      </w:r>
      <w:proofErr w:type="gramStart"/>
      <w:r w:rsidRPr="009229F9">
        <w:rPr>
          <w:rFonts w:cstheme="minorHAnsi"/>
        </w:rPr>
        <w:t>+  (</w:t>
      </w:r>
      <w:proofErr w:type="gramEnd"/>
      <w:r w:rsidRPr="009229F9">
        <w:rPr>
          <w:rFonts w:cstheme="minorHAnsi"/>
        </w:rPr>
        <w:t xml:space="preserve">kravnivå för att få bidrag) kan man uppskatta den årliga </w:t>
      </w:r>
      <w:proofErr w:type="spellStart"/>
      <w:r w:rsidRPr="009229F9">
        <w:rPr>
          <w:rFonts w:cstheme="minorHAnsi"/>
        </w:rPr>
        <w:t>elbesparingen</w:t>
      </w:r>
      <w:proofErr w:type="spellEnd"/>
      <w:r w:rsidRPr="009229F9">
        <w:rPr>
          <w:rFonts w:cstheme="minorHAnsi"/>
        </w:rPr>
        <w:t xml:space="preserve"> till ca 200 kWh (från en nivå 350 till 150 kWh/år). Motsvarande eleffektbesparing (timmedeleffekt) kan då uppskattas till 200 kWh/8760 </w:t>
      </w:r>
      <w:proofErr w:type="spellStart"/>
      <w:r w:rsidRPr="009229F9">
        <w:rPr>
          <w:rFonts w:cstheme="minorHAnsi"/>
        </w:rPr>
        <w:t>tim</w:t>
      </w:r>
      <w:proofErr w:type="spellEnd"/>
      <w:r w:rsidRPr="009229F9">
        <w:rPr>
          <w:rFonts w:cstheme="minorHAnsi"/>
        </w:rPr>
        <w:t xml:space="preserve"> = 23 W. Denna besparing kommer att slå igenom på köpt energi helt beroende på vilket värmesystem huset använder. </w:t>
      </w:r>
    </w:p>
    <w:p w14:paraId="64A18644" w14:textId="77777777" w:rsidR="004E074B" w:rsidRPr="009229F9" w:rsidRDefault="004E074B" w:rsidP="009229F9">
      <w:pPr>
        <w:rPr>
          <w:rFonts w:cstheme="minorHAnsi"/>
        </w:rPr>
      </w:pPr>
      <w:r w:rsidRPr="009229F9">
        <w:rPr>
          <w:rFonts w:cstheme="minorHAnsi"/>
        </w:rPr>
        <w:t>I ett rent elvärmt hus har vi räknat med att man under vintern behöver under tillföra lika mycket energi som sparas (via radiatorerna). Om vi räknar effekt under vintern blir besparingen därmed noll. Besparingen av köpt el per år kan dock antas tillgodoräknas halva året, vilket ger 50% av de 200 kWh.</w:t>
      </w:r>
    </w:p>
    <w:p w14:paraId="23A8C369" w14:textId="77777777" w:rsidR="004E074B" w:rsidRPr="009229F9" w:rsidRDefault="004E074B" w:rsidP="009229F9">
      <w:pPr>
        <w:rPr>
          <w:rFonts w:cstheme="minorHAnsi"/>
        </w:rPr>
      </w:pPr>
      <w:r w:rsidRPr="009229F9">
        <w:rPr>
          <w:rFonts w:cstheme="minorHAnsi"/>
        </w:rPr>
        <w:t xml:space="preserve">I ett fjärrvärmevärmt hus tillgodogörs man hela </w:t>
      </w:r>
      <w:proofErr w:type="spellStart"/>
      <w:r w:rsidRPr="009229F9">
        <w:rPr>
          <w:rFonts w:cstheme="minorHAnsi"/>
        </w:rPr>
        <w:t>elbesparingen</w:t>
      </w:r>
      <w:proofErr w:type="spellEnd"/>
      <w:r w:rsidRPr="009229F9">
        <w:rPr>
          <w:rFonts w:cstheme="minorHAnsi"/>
        </w:rPr>
        <w:t xml:space="preserve"> men den behöver då effektmässigt kompenseras fullt ut på vintern med en högre fjärrvärmeeffekt. På samma sätt som i elvärmehuset kan man anta 50% av </w:t>
      </w:r>
      <w:proofErr w:type="spellStart"/>
      <w:r w:rsidRPr="009229F9">
        <w:rPr>
          <w:rFonts w:cstheme="minorHAnsi"/>
        </w:rPr>
        <w:t>elbesparingen</w:t>
      </w:r>
      <w:proofErr w:type="spellEnd"/>
      <w:r w:rsidRPr="009229F9">
        <w:rPr>
          <w:rFonts w:cstheme="minorHAnsi"/>
        </w:rPr>
        <w:t xml:space="preserve"> sker under sommarhalvåret och därmed inte behöver kompenseras med fjärrvärme.</w:t>
      </w:r>
    </w:p>
    <w:p w14:paraId="1C5D4B6B" w14:textId="77777777" w:rsidR="004E074B" w:rsidRPr="009229F9" w:rsidRDefault="004E074B" w:rsidP="009229F9">
      <w:pPr>
        <w:rPr>
          <w:rFonts w:cstheme="minorHAnsi"/>
        </w:rPr>
      </w:pPr>
      <w:r w:rsidRPr="009229F9">
        <w:rPr>
          <w:rFonts w:cstheme="minorHAnsi"/>
        </w:rPr>
        <w:t xml:space="preserve">I ett hus som värms upp med värmepump blir det ytterligare mer komplext. Man kan där anta att eleffektbesparingen från utbytet till en mer effektiv vitvara bara behöver kompenseras till 50% när </w:t>
      </w:r>
      <w:r w:rsidRPr="009229F9">
        <w:rPr>
          <w:rFonts w:cstheme="minorHAnsi"/>
        </w:rPr>
        <w:lastRenderedPageBreak/>
        <w:t>det är som kallast och vi har kvar antagandet om en verkningsgrad kring 2:1. Om man ser elenergiinköpet under året kan man som tidigare anta att man helt tillgodogörs besparingen under sommarhalvåret men att man på vintern behöver kompensera via sitt värmepumpsystem med verkningsgrad 2,5:1</w:t>
      </w:r>
    </w:p>
    <w:p w14:paraId="42230B28" w14:textId="77777777" w:rsidR="004E074B" w:rsidRPr="009229F9" w:rsidRDefault="004E074B" w:rsidP="003827CB">
      <w:pPr>
        <w:pStyle w:val="Heading4"/>
      </w:pPr>
      <w:r w:rsidRPr="009229F9">
        <w:t>Byte av cirkulationspump</w:t>
      </w:r>
    </w:p>
    <w:p w14:paraId="556FDBB7" w14:textId="77777777" w:rsidR="004E074B" w:rsidRPr="009229F9" w:rsidRDefault="004E074B" w:rsidP="009229F9">
      <w:pPr>
        <w:rPr>
          <w:rFonts w:cstheme="minorHAnsi"/>
        </w:rPr>
      </w:pPr>
      <w:r w:rsidRPr="009229F9">
        <w:rPr>
          <w:rFonts w:cstheme="minorHAnsi"/>
        </w:rPr>
        <w:t xml:space="preserve">Deltagarna har även haft möjlighet att söka bidrag för byte av cirkulationspump i värmesystemet. Bland de 180 som vi studerar här, har 6 </w:t>
      </w:r>
      <w:proofErr w:type="spellStart"/>
      <w:r w:rsidRPr="009229F9">
        <w:rPr>
          <w:rFonts w:cstheme="minorHAnsi"/>
        </w:rPr>
        <w:t>st</w:t>
      </w:r>
      <w:proofErr w:type="spellEnd"/>
      <w:r w:rsidRPr="009229F9">
        <w:rPr>
          <w:rFonts w:cstheme="minorHAnsi"/>
        </w:rPr>
        <w:t xml:space="preserve"> sökt detta alternativ till en total kostnad (som underlag för bidragsansökan) av 86 000 kr. Efter det att bidragen beviljade har det framkommit att flera av dessa kunder har trott att vi avsåg att man skulle kunna söka för att byta ut sin värmepump, vilket inte var fallet.  Vi har därför valt ta bort dessa åtgärder när vi gör vår analys av effekt-och energibesparingar.      </w:t>
      </w:r>
    </w:p>
    <w:p w14:paraId="3F4CE1AF" w14:textId="77777777" w:rsidR="004E074B" w:rsidRPr="009229F9" w:rsidRDefault="004E074B" w:rsidP="003827CB">
      <w:pPr>
        <w:pStyle w:val="Heading3"/>
      </w:pPr>
      <w:r w:rsidRPr="009229F9">
        <w:t xml:space="preserve">Resultat </w:t>
      </w:r>
    </w:p>
    <w:p w14:paraId="037AC720" w14:textId="77777777" w:rsidR="004E074B" w:rsidRPr="009229F9" w:rsidRDefault="004E074B" w:rsidP="009229F9">
      <w:pPr>
        <w:rPr>
          <w:rFonts w:cstheme="minorHAnsi"/>
        </w:rPr>
      </w:pPr>
      <w:r w:rsidRPr="009229F9">
        <w:rPr>
          <w:rFonts w:cstheme="minorHAnsi"/>
        </w:rPr>
        <w:t>Med ovanstående antaganden och avgränsningar och med de uppgifter kunderna själva har angivit kan man räkna fram följande totala resultat för samtliga ansökta åtgärder:</w:t>
      </w:r>
    </w:p>
    <w:p w14:paraId="1835D438" w14:textId="400C129D" w:rsidR="004E074B" w:rsidRPr="003827CB" w:rsidRDefault="004E074B" w:rsidP="003827CB">
      <w:pPr>
        <w:pStyle w:val="ListParagraph"/>
        <w:numPr>
          <w:ilvl w:val="0"/>
          <w:numId w:val="7"/>
        </w:numPr>
        <w:rPr>
          <w:rFonts w:cstheme="minorHAnsi"/>
        </w:rPr>
      </w:pPr>
      <w:r w:rsidRPr="003827CB">
        <w:rPr>
          <w:rFonts w:cstheme="minorHAnsi"/>
        </w:rPr>
        <w:t xml:space="preserve">Besparing el: </w:t>
      </w:r>
      <w:r w:rsidRPr="003827CB">
        <w:rPr>
          <w:rFonts w:cstheme="minorHAnsi"/>
        </w:rPr>
        <w:tab/>
      </w:r>
      <w:r w:rsidRPr="003827CB">
        <w:rPr>
          <w:rFonts w:cstheme="minorHAnsi"/>
        </w:rPr>
        <w:tab/>
        <w:t>43 kW, 100 000 kWh</w:t>
      </w:r>
    </w:p>
    <w:p w14:paraId="641B27A8" w14:textId="2A32E183" w:rsidR="004E074B" w:rsidRPr="003827CB" w:rsidRDefault="004E074B" w:rsidP="003827CB">
      <w:pPr>
        <w:pStyle w:val="ListParagraph"/>
        <w:numPr>
          <w:ilvl w:val="0"/>
          <w:numId w:val="7"/>
        </w:numPr>
        <w:rPr>
          <w:rFonts w:cstheme="minorHAnsi"/>
        </w:rPr>
      </w:pPr>
      <w:r w:rsidRPr="003827CB">
        <w:rPr>
          <w:rFonts w:cstheme="minorHAnsi"/>
        </w:rPr>
        <w:t>Besparing fjärrvärme:</w:t>
      </w:r>
      <w:r w:rsidRPr="003827CB">
        <w:rPr>
          <w:rFonts w:cstheme="minorHAnsi"/>
        </w:rPr>
        <w:tab/>
        <w:t xml:space="preserve"> 22 kW, 51 000 kWh</w:t>
      </w:r>
    </w:p>
    <w:p w14:paraId="00CD4488" w14:textId="77777777" w:rsidR="004E074B" w:rsidRPr="003827CB" w:rsidRDefault="004E074B" w:rsidP="003827CB">
      <w:pPr>
        <w:pStyle w:val="ListParagraph"/>
        <w:numPr>
          <w:ilvl w:val="0"/>
          <w:numId w:val="7"/>
        </w:numPr>
        <w:rPr>
          <w:rFonts w:cstheme="minorHAnsi"/>
        </w:rPr>
      </w:pPr>
      <w:r w:rsidRPr="003827CB">
        <w:rPr>
          <w:rFonts w:cstheme="minorHAnsi"/>
        </w:rPr>
        <w:t>Angiven investering för kunderna:</w:t>
      </w:r>
      <w:r w:rsidRPr="003827CB">
        <w:rPr>
          <w:rFonts w:cstheme="minorHAnsi"/>
        </w:rPr>
        <w:tab/>
        <w:t xml:space="preserve"> 13,3 miljoner kronor</w:t>
      </w:r>
    </w:p>
    <w:p w14:paraId="5DCAC97B" w14:textId="53F4A26A" w:rsidR="004E074B" w:rsidRPr="003827CB" w:rsidRDefault="004E074B" w:rsidP="003827CB">
      <w:pPr>
        <w:pStyle w:val="ListParagraph"/>
        <w:numPr>
          <w:ilvl w:val="0"/>
          <w:numId w:val="7"/>
        </w:numPr>
        <w:rPr>
          <w:rFonts w:cstheme="minorHAnsi"/>
        </w:rPr>
      </w:pPr>
      <w:r w:rsidRPr="003827CB">
        <w:rPr>
          <w:rFonts w:cstheme="minorHAnsi"/>
        </w:rPr>
        <w:t>Beviljat bidrag:</w:t>
      </w:r>
      <w:r w:rsidRPr="003827CB">
        <w:rPr>
          <w:rFonts w:cstheme="minorHAnsi"/>
        </w:rPr>
        <w:tab/>
      </w:r>
      <w:r w:rsidRPr="003827CB">
        <w:rPr>
          <w:rFonts w:cstheme="minorHAnsi"/>
        </w:rPr>
        <w:tab/>
        <w:t xml:space="preserve">   2,6 miljoner kronor</w:t>
      </w:r>
    </w:p>
    <w:p w14:paraId="47A056BD" w14:textId="7D021536" w:rsidR="004E074B" w:rsidRPr="003827CB" w:rsidRDefault="004E074B" w:rsidP="003827CB">
      <w:pPr>
        <w:pStyle w:val="ListParagraph"/>
        <w:numPr>
          <w:ilvl w:val="0"/>
          <w:numId w:val="7"/>
        </w:numPr>
        <w:rPr>
          <w:rFonts w:cstheme="minorHAnsi"/>
        </w:rPr>
      </w:pPr>
      <w:r w:rsidRPr="003827CB">
        <w:rPr>
          <w:rFonts w:cstheme="minorHAnsi"/>
        </w:rPr>
        <w:t>Genomsnittlig bidragsandel:</w:t>
      </w:r>
      <w:r w:rsidRPr="003827CB">
        <w:rPr>
          <w:rFonts w:cstheme="minorHAnsi"/>
        </w:rPr>
        <w:tab/>
        <w:t xml:space="preserve"> 19 %</w:t>
      </w:r>
      <w:r w:rsidRPr="003827CB">
        <w:rPr>
          <w:rFonts w:cstheme="minorHAnsi"/>
        </w:rPr>
        <w:tab/>
      </w:r>
      <w:r w:rsidRPr="003827CB">
        <w:rPr>
          <w:rFonts w:cstheme="minorHAnsi"/>
        </w:rPr>
        <w:tab/>
      </w:r>
    </w:p>
    <w:p w14:paraId="4A4F68E6" w14:textId="77777777" w:rsidR="004E074B" w:rsidRPr="009229F9" w:rsidRDefault="004E074B" w:rsidP="009229F9">
      <w:pPr>
        <w:rPr>
          <w:rFonts w:cstheme="minorHAnsi"/>
        </w:rPr>
      </w:pPr>
      <w:r w:rsidRPr="009229F9">
        <w:rPr>
          <w:rFonts w:cstheme="minorHAnsi"/>
        </w:rPr>
        <w:t>Fördelat på undergrupperna med två olika typerna av erbjudanden:</w:t>
      </w:r>
    </w:p>
    <w:p w14:paraId="63781A37" w14:textId="77777777" w:rsidR="004E074B" w:rsidRPr="009229F9" w:rsidRDefault="004E074B" w:rsidP="003827CB">
      <w:pPr>
        <w:pStyle w:val="Heading4"/>
      </w:pPr>
      <w:r w:rsidRPr="009229F9">
        <w:t xml:space="preserve">Gruppen Fast (93 </w:t>
      </w:r>
      <w:proofErr w:type="spellStart"/>
      <w:r w:rsidRPr="009229F9">
        <w:t>st</w:t>
      </w:r>
      <w:proofErr w:type="spellEnd"/>
      <w:r w:rsidRPr="009229F9">
        <w:t>)</w:t>
      </w:r>
    </w:p>
    <w:p w14:paraId="1192A7F2" w14:textId="345DB597" w:rsidR="004E074B" w:rsidRPr="003827CB" w:rsidRDefault="004E074B" w:rsidP="003827CB">
      <w:pPr>
        <w:pStyle w:val="ListParagraph"/>
        <w:numPr>
          <w:ilvl w:val="0"/>
          <w:numId w:val="8"/>
        </w:numPr>
        <w:rPr>
          <w:rFonts w:cstheme="minorHAnsi"/>
        </w:rPr>
      </w:pPr>
      <w:r w:rsidRPr="003827CB">
        <w:rPr>
          <w:rFonts w:cstheme="minorHAnsi"/>
        </w:rPr>
        <w:t xml:space="preserve">Besparing el: </w:t>
      </w:r>
      <w:r w:rsidRPr="003827CB">
        <w:rPr>
          <w:rFonts w:cstheme="minorHAnsi"/>
        </w:rPr>
        <w:tab/>
      </w:r>
      <w:r w:rsidRPr="003827CB">
        <w:rPr>
          <w:rFonts w:cstheme="minorHAnsi"/>
        </w:rPr>
        <w:tab/>
        <w:t>13 kW, 34 000 kWh</w:t>
      </w:r>
    </w:p>
    <w:p w14:paraId="42419AF9" w14:textId="0A0C254B" w:rsidR="004E074B" w:rsidRPr="003827CB" w:rsidRDefault="004E074B" w:rsidP="003827CB">
      <w:pPr>
        <w:pStyle w:val="ListParagraph"/>
        <w:numPr>
          <w:ilvl w:val="0"/>
          <w:numId w:val="8"/>
        </w:numPr>
        <w:rPr>
          <w:rFonts w:cstheme="minorHAnsi"/>
        </w:rPr>
      </w:pPr>
      <w:r w:rsidRPr="003827CB">
        <w:rPr>
          <w:rFonts w:cstheme="minorHAnsi"/>
        </w:rPr>
        <w:t>Besparing fjärrvärme:</w:t>
      </w:r>
      <w:r w:rsidRPr="003827CB">
        <w:rPr>
          <w:rFonts w:cstheme="minorHAnsi"/>
        </w:rPr>
        <w:tab/>
        <w:t xml:space="preserve"> 14 kW, 32 000 kWh</w:t>
      </w:r>
    </w:p>
    <w:p w14:paraId="69E314CD" w14:textId="77777777" w:rsidR="004E074B" w:rsidRPr="003827CB" w:rsidRDefault="004E074B" w:rsidP="003827CB">
      <w:pPr>
        <w:pStyle w:val="ListParagraph"/>
        <w:numPr>
          <w:ilvl w:val="0"/>
          <w:numId w:val="8"/>
        </w:numPr>
        <w:rPr>
          <w:rFonts w:cstheme="minorHAnsi"/>
        </w:rPr>
      </w:pPr>
      <w:r w:rsidRPr="003827CB">
        <w:rPr>
          <w:rFonts w:cstheme="minorHAnsi"/>
        </w:rPr>
        <w:t>Angiven investering för kunderna:</w:t>
      </w:r>
      <w:r w:rsidRPr="003827CB">
        <w:rPr>
          <w:rFonts w:cstheme="minorHAnsi"/>
        </w:rPr>
        <w:tab/>
        <w:t xml:space="preserve"> 5,5 miljoner kronor</w:t>
      </w:r>
    </w:p>
    <w:p w14:paraId="47A1EE37" w14:textId="77777777" w:rsidR="004E074B" w:rsidRPr="003827CB" w:rsidRDefault="004E074B" w:rsidP="003827CB">
      <w:pPr>
        <w:pStyle w:val="ListParagraph"/>
        <w:numPr>
          <w:ilvl w:val="0"/>
          <w:numId w:val="8"/>
        </w:numPr>
        <w:rPr>
          <w:rFonts w:cstheme="minorHAnsi"/>
        </w:rPr>
      </w:pPr>
      <w:r w:rsidRPr="003827CB">
        <w:rPr>
          <w:rFonts w:cstheme="minorHAnsi"/>
        </w:rPr>
        <w:t>Beviljat bidrag:</w:t>
      </w:r>
      <w:r w:rsidRPr="003827CB">
        <w:rPr>
          <w:rFonts w:cstheme="minorHAnsi"/>
        </w:rPr>
        <w:tab/>
      </w:r>
      <w:r w:rsidRPr="003827CB">
        <w:rPr>
          <w:rFonts w:cstheme="minorHAnsi"/>
        </w:rPr>
        <w:tab/>
        <w:t xml:space="preserve"> 1,2 miljoner kronor</w:t>
      </w:r>
    </w:p>
    <w:p w14:paraId="2BCCDBD9" w14:textId="265A7035" w:rsidR="004E074B" w:rsidRPr="003827CB" w:rsidRDefault="004E074B" w:rsidP="009229F9">
      <w:pPr>
        <w:pStyle w:val="ListParagraph"/>
        <w:numPr>
          <w:ilvl w:val="0"/>
          <w:numId w:val="8"/>
        </w:numPr>
        <w:rPr>
          <w:rFonts w:cstheme="minorHAnsi"/>
        </w:rPr>
      </w:pPr>
      <w:r w:rsidRPr="003827CB">
        <w:rPr>
          <w:rFonts w:cstheme="minorHAnsi"/>
        </w:rPr>
        <w:t>Genomsnittlig bidragsandel:</w:t>
      </w:r>
      <w:r w:rsidRPr="003827CB">
        <w:rPr>
          <w:rFonts w:cstheme="minorHAnsi"/>
        </w:rPr>
        <w:tab/>
        <w:t xml:space="preserve"> 22 %</w:t>
      </w:r>
      <w:r w:rsidRPr="003827CB">
        <w:rPr>
          <w:rFonts w:cstheme="minorHAnsi"/>
        </w:rPr>
        <w:tab/>
      </w:r>
      <w:r w:rsidRPr="003827CB">
        <w:rPr>
          <w:rFonts w:cstheme="minorHAnsi"/>
        </w:rPr>
        <w:tab/>
      </w:r>
    </w:p>
    <w:p w14:paraId="6D1AD4CB" w14:textId="77777777" w:rsidR="004E074B" w:rsidRPr="009229F9" w:rsidRDefault="004E074B" w:rsidP="003827CB">
      <w:pPr>
        <w:pStyle w:val="Heading4"/>
      </w:pPr>
      <w:r w:rsidRPr="009229F9">
        <w:t xml:space="preserve">Gruppen Anbud (87 </w:t>
      </w:r>
      <w:proofErr w:type="spellStart"/>
      <w:r w:rsidRPr="009229F9">
        <w:t>st</w:t>
      </w:r>
      <w:proofErr w:type="spellEnd"/>
      <w:r w:rsidRPr="009229F9">
        <w:t>)</w:t>
      </w:r>
    </w:p>
    <w:p w14:paraId="39625C18" w14:textId="0B9F9474" w:rsidR="004E074B" w:rsidRPr="003827CB" w:rsidRDefault="004E074B" w:rsidP="003827CB">
      <w:pPr>
        <w:pStyle w:val="ListParagraph"/>
        <w:numPr>
          <w:ilvl w:val="0"/>
          <w:numId w:val="9"/>
        </w:numPr>
        <w:rPr>
          <w:rFonts w:cstheme="minorHAnsi"/>
        </w:rPr>
      </w:pPr>
      <w:r w:rsidRPr="003827CB">
        <w:rPr>
          <w:rFonts w:cstheme="minorHAnsi"/>
        </w:rPr>
        <w:t xml:space="preserve">Besparing el: </w:t>
      </w:r>
      <w:r w:rsidRPr="003827CB">
        <w:rPr>
          <w:rFonts w:cstheme="minorHAnsi"/>
        </w:rPr>
        <w:tab/>
      </w:r>
      <w:r w:rsidRPr="003827CB">
        <w:rPr>
          <w:rFonts w:cstheme="minorHAnsi"/>
        </w:rPr>
        <w:tab/>
        <w:t>30 kW, 66 000 kWh</w:t>
      </w:r>
    </w:p>
    <w:p w14:paraId="0D73D160" w14:textId="040ED054" w:rsidR="004E074B" w:rsidRPr="003827CB" w:rsidRDefault="004E074B" w:rsidP="003827CB">
      <w:pPr>
        <w:pStyle w:val="ListParagraph"/>
        <w:numPr>
          <w:ilvl w:val="0"/>
          <w:numId w:val="9"/>
        </w:numPr>
        <w:rPr>
          <w:rFonts w:cstheme="minorHAnsi"/>
        </w:rPr>
      </w:pPr>
      <w:r w:rsidRPr="003827CB">
        <w:rPr>
          <w:rFonts w:cstheme="minorHAnsi"/>
        </w:rPr>
        <w:t>Besparing fjärrvärme:</w:t>
      </w:r>
      <w:proofErr w:type="gramStart"/>
      <w:r w:rsidRPr="003827CB">
        <w:rPr>
          <w:rFonts w:cstheme="minorHAnsi"/>
        </w:rPr>
        <w:tab/>
        <w:t xml:space="preserve">  8</w:t>
      </w:r>
      <w:proofErr w:type="gramEnd"/>
      <w:r w:rsidRPr="003827CB">
        <w:rPr>
          <w:rFonts w:cstheme="minorHAnsi"/>
        </w:rPr>
        <w:t xml:space="preserve"> kW, 19 000 kWh</w:t>
      </w:r>
    </w:p>
    <w:p w14:paraId="2F33FC62" w14:textId="77777777" w:rsidR="004E074B" w:rsidRPr="003827CB" w:rsidRDefault="004E074B" w:rsidP="003827CB">
      <w:pPr>
        <w:pStyle w:val="ListParagraph"/>
        <w:numPr>
          <w:ilvl w:val="0"/>
          <w:numId w:val="9"/>
        </w:numPr>
        <w:rPr>
          <w:rFonts w:cstheme="minorHAnsi"/>
        </w:rPr>
      </w:pPr>
      <w:r w:rsidRPr="003827CB">
        <w:rPr>
          <w:rFonts w:cstheme="minorHAnsi"/>
        </w:rPr>
        <w:t>Angiven investering för kunderna:</w:t>
      </w:r>
      <w:r w:rsidRPr="003827CB">
        <w:rPr>
          <w:rFonts w:cstheme="minorHAnsi"/>
        </w:rPr>
        <w:tab/>
        <w:t xml:space="preserve"> 7,8 miljoner kronor</w:t>
      </w:r>
    </w:p>
    <w:p w14:paraId="78661164" w14:textId="77777777" w:rsidR="004E074B" w:rsidRPr="003827CB" w:rsidRDefault="004E074B" w:rsidP="003827CB">
      <w:pPr>
        <w:pStyle w:val="ListParagraph"/>
        <w:numPr>
          <w:ilvl w:val="0"/>
          <w:numId w:val="9"/>
        </w:numPr>
        <w:rPr>
          <w:rFonts w:cstheme="minorHAnsi"/>
        </w:rPr>
      </w:pPr>
      <w:r w:rsidRPr="003827CB">
        <w:rPr>
          <w:rFonts w:cstheme="minorHAnsi"/>
        </w:rPr>
        <w:t>Beviljat bidrag:</w:t>
      </w:r>
      <w:r w:rsidRPr="003827CB">
        <w:rPr>
          <w:rFonts w:cstheme="minorHAnsi"/>
        </w:rPr>
        <w:tab/>
      </w:r>
      <w:r w:rsidRPr="003827CB">
        <w:rPr>
          <w:rFonts w:cstheme="minorHAnsi"/>
        </w:rPr>
        <w:tab/>
        <w:t xml:space="preserve"> 1,4 miljoner kronor</w:t>
      </w:r>
    </w:p>
    <w:p w14:paraId="7EB628B4" w14:textId="475AE41B" w:rsidR="004E074B" w:rsidRPr="003827CB" w:rsidRDefault="004E074B" w:rsidP="003827CB">
      <w:pPr>
        <w:pStyle w:val="ListParagraph"/>
        <w:numPr>
          <w:ilvl w:val="0"/>
          <w:numId w:val="9"/>
        </w:numPr>
        <w:rPr>
          <w:rFonts w:cstheme="minorHAnsi"/>
        </w:rPr>
      </w:pPr>
      <w:r w:rsidRPr="003827CB">
        <w:rPr>
          <w:rFonts w:cstheme="minorHAnsi"/>
        </w:rPr>
        <w:t>Genomsnittlig bidragsandel:</w:t>
      </w:r>
      <w:r w:rsidRPr="003827CB">
        <w:rPr>
          <w:rFonts w:cstheme="minorHAnsi"/>
        </w:rPr>
        <w:tab/>
        <w:t xml:space="preserve"> 18 %</w:t>
      </w:r>
      <w:r w:rsidRPr="003827CB">
        <w:rPr>
          <w:rFonts w:cstheme="minorHAnsi"/>
        </w:rPr>
        <w:tab/>
      </w:r>
      <w:r w:rsidRPr="003827CB">
        <w:rPr>
          <w:rFonts w:cstheme="minorHAnsi"/>
        </w:rPr>
        <w:tab/>
      </w:r>
    </w:p>
    <w:p w14:paraId="4B280E05" w14:textId="214E3439" w:rsidR="00B31DC3" w:rsidRPr="00B31DC3" w:rsidRDefault="00B31DC3" w:rsidP="00B31DC3">
      <w:pPr>
        <w:rPr>
          <w:rFonts w:ascii="Calibri" w:eastAsia="Times New Roman" w:hAnsi="Calibri" w:cs="Calibri"/>
          <w:color w:val="000000"/>
          <w:lang w:eastAsia="sv-SE"/>
        </w:rPr>
      </w:pPr>
      <w:r>
        <w:rPr>
          <w:rFonts w:cstheme="minorHAnsi"/>
        </w:rPr>
        <w:t>Som framgår nedan blev det ett relativt stort bortfall mellan ansökningarna (som analysen ovan baseras på</w:t>
      </w:r>
      <w:r w:rsidR="003F5D40">
        <w:rPr>
          <w:rFonts w:cstheme="minorHAnsi"/>
        </w:rPr>
        <w:t>)</w:t>
      </w:r>
      <w:r>
        <w:rPr>
          <w:rFonts w:cstheme="minorHAnsi"/>
        </w:rPr>
        <w:t xml:space="preserve"> och vad som sedan verkligen genomfördes hos kunderna) Totalt betalades bidrag ut till 116 kunder med ett totalt belopp om </w:t>
      </w:r>
      <w:r w:rsidRPr="00B31DC3">
        <w:rPr>
          <w:rFonts w:cstheme="minorHAnsi"/>
        </w:rPr>
        <w:t>1 305</w:t>
      </w:r>
      <w:r w:rsidRPr="00B31DC3">
        <w:rPr>
          <w:rFonts w:cstheme="minorHAnsi"/>
        </w:rPr>
        <w:t> </w:t>
      </w:r>
      <w:r w:rsidRPr="00B31DC3">
        <w:rPr>
          <w:rFonts w:cstheme="minorHAnsi"/>
        </w:rPr>
        <w:t>965</w:t>
      </w:r>
      <w:r w:rsidRPr="00B31DC3">
        <w:rPr>
          <w:rFonts w:cstheme="minorHAnsi"/>
        </w:rPr>
        <w:t xml:space="preserve"> kr</w:t>
      </w:r>
      <w:r>
        <w:rPr>
          <w:rFonts w:cstheme="minorHAnsi"/>
        </w:rPr>
        <w:t xml:space="preserve">. Den verkliga besparingen kan därför uppskattas till ca hälften av den ovan beräknade. </w:t>
      </w:r>
    </w:p>
    <w:p w14:paraId="30BE128B" w14:textId="65525E1F" w:rsidR="003827CB" w:rsidRDefault="003827CB" w:rsidP="009229F9">
      <w:pPr>
        <w:rPr>
          <w:rFonts w:cstheme="minorHAnsi"/>
        </w:rPr>
      </w:pPr>
    </w:p>
    <w:p w14:paraId="7CC70BE0" w14:textId="7B1F9585" w:rsidR="003827CB" w:rsidRDefault="003827CB" w:rsidP="009229F9">
      <w:pPr>
        <w:rPr>
          <w:rFonts w:cstheme="minorHAnsi"/>
        </w:rPr>
      </w:pPr>
    </w:p>
    <w:p w14:paraId="05B806FB" w14:textId="7FF081CE" w:rsidR="003827CB" w:rsidRDefault="003827CB" w:rsidP="009229F9">
      <w:pPr>
        <w:rPr>
          <w:rFonts w:cstheme="minorHAnsi"/>
        </w:rPr>
      </w:pPr>
    </w:p>
    <w:p w14:paraId="48B0A5A2" w14:textId="77777777" w:rsidR="003827CB" w:rsidRPr="009229F9" w:rsidRDefault="003827CB" w:rsidP="009229F9">
      <w:pPr>
        <w:rPr>
          <w:rFonts w:cstheme="minorHAnsi"/>
        </w:rPr>
      </w:pPr>
    </w:p>
    <w:p w14:paraId="2F83DE08" w14:textId="3BCF23F9" w:rsidR="00AA2AB8" w:rsidRPr="003827CB" w:rsidRDefault="00CD3E57" w:rsidP="003827CB">
      <w:pPr>
        <w:pStyle w:val="Heading2"/>
      </w:pPr>
      <w:r w:rsidRPr="009229F9">
        <w:lastRenderedPageBreak/>
        <w:t>Erfarenheter och rekommendationer</w:t>
      </w:r>
    </w:p>
    <w:p w14:paraId="42DAC1F1" w14:textId="77777777" w:rsidR="004E074B" w:rsidRPr="009229F9" w:rsidRDefault="004E074B" w:rsidP="009229F9">
      <w:pPr>
        <w:rPr>
          <w:rFonts w:cstheme="minorHAnsi"/>
          <w:color w:val="000000"/>
        </w:rPr>
      </w:pPr>
      <w:r w:rsidRPr="009229F9">
        <w:rPr>
          <w:rFonts w:cstheme="minorHAnsi"/>
          <w:color w:val="000000"/>
        </w:rPr>
        <w:t xml:space="preserve">Problem som uppmärksammades under ansökningsskedet var att runt en tredjedel av ansökningarna hade brister som behövde åtgärdas. Det kunde röra sig om att man hade fyllt i uppgifter i fel fält eller missuppfattat vad som avsågs med att byta cirkulationspump och </w:t>
      </w:r>
    </w:p>
    <w:p w14:paraId="5A5600FC" w14:textId="3280D0AE" w:rsidR="00CD3E57" w:rsidRPr="009229F9" w:rsidRDefault="004E074B" w:rsidP="009229F9">
      <w:pPr>
        <w:rPr>
          <w:rFonts w:cstheme="minorHAnsi"/>
          <w:color w:val="000000"/>
        </w:rPr>
      </w:pPr>
      <w:r w:rsidRPr="009229F9">
        <w:rPr>
          <w:rFonts w:cstheme="minorHAnsi"/>
          <w:color w:val="000000"/>
        </w:rPr>
        <w:t xml:space="preserve">tagit upp orealistiskt höga belopp som avsåg att byta värmepump. En större tydlighet i formulären hade förmodligen gjort att många av dessa fel hade kunnat undvikas. Två kunder som inte hade tillgång till Internet fick hjälp att fylla i ansökan och skicka in den brevledes. </w:t>
      </w:r>
    </w:p>
    <w:p w14:paraId="6FDBFC63" w14:textId="12D275DC" w:rsidR="00CD3E57" w:rsidRPr="009229F9" w:rsidRDefault="004E074B" w:rsidP="009229F9">
      <w:pPr>
        <w:rPr>
          <w:rFonts w:cstheme="minorHAnsi"/>
          <w:color w:val="000000"/>
        </w:rPr>
      </w:pPr>
      <w:r w:rsidRPr="009229F9">
        <w:rPr>
          <w:rFonts w:cstheme="minorHAnsi"/>
          <w:color w:val="000000"/>
        </w:rPr>
        <w:t xml:space="preserve">Efter ansökningstidens utgång gjordes en genomgång och kontroll av samtliga inkomna ansökningar och en del kompletteringsfrågors ställdes innan urvalet av beviljade ansökningar genomfördes (slumpurval i den ”fasta-procent-gruppen” och rangordning efter sökt bidragsprocent i ”anbudgruppen”). Projektet var noga med att protokollföra dessa urval för att förbygga eventuella ifrågasättande av processen. Några sådana synpunkter har dock inte kommit in från kunderna. </w:t>
      </w:r>
    </w:p>
    <w:p w14:paraId="545D3886" w14:textId="2F0039D0" w:rsidR="00CD3E57" w:rsidRPr="009229F9" w:rsidRDefault="004E074B" w:rsidP="009229F9">
      <w:pPr>
        <w:rPr>
          <w:rFonts w:cstheme="minorHAnsi"/>
          <w:color w:val="000000"/>
        </w:rPr>
      </w:pPr>
      <w:r w:rsidRPr="009229F9">
        <w:rPr>
          <w:rFonts w:cstheme="minorHAnsi"/>
          <w:color w:val="000000"/>
        </w:rPr>
        <w:t xml:space="preserve">Både de kunder som fått sina ansökningar beviljade och de som inte fått bidrag fick information om utfallet via e-post. De som fått beviljat sina bidrag fick då information om deadline för att lämna in sin kostnadsredovisning, vad den behövde innehålla i form av underlag och en länk för att ladda ner den blankett som skulle användas. Kunden meddelades via mailboxen casablanca@sust.se som också angavs som kontaktväg för att skicka in sin kostnadsredovisning och ställa frågor etc. </w:t>
      </w:r>
    </w:p>
    <w:p w14:paraId="7E416170" w14:textId="656E526E" w:rsidR="004E074B" w:rsidRPr="009229F9" w:rsidRDefault="004E074B" w:rsidP="009229F9">
      <w:pPr>
        <w:rPr>
          <w:rFonts w:cstheme="minorHAnsi"/>
          <w:color w:val="000000"/>
        </w:rPr>
      </w:pPr>
      <w:r w:rsidRPr="009229F9">
        <w:rPr>
          <w:rFonts w:cstheme="minorHAnsi"/>
          <w:color w:val="000000"/>
        </w:rPr>
        <w:t xml:space="preserve">Efter ansökningstidens utgång har sedan inkomna kostnadsredovisningar hanterats och utbetalning av bidrag skett. En del beviljade ansökningar har blivit strukna, antingen beroende på att kunden har dragit tillbaka sin ansökan eller inte kunnat redovisa relevanta kostnader eller uppfyllda energikrav. Det utrymme som då skapats har fram till mitten av november fyllts på med nya beviljande ansökningar, med deadline 15/12 2020. Dessa processer har fungerat relativt väl även om det har funnits kundfrågor kring t.ex. krav på energiprestanda, vad för underlag som krävs, att man inte kan hitta sin ansökan och vad man har fått beviljat etc. Ett mått på denna kommunikation är att det har skickats runt 500 e-postmeddelanden, tom början av december 2020 från casablanca@sust.se. Till detta antal kan även läggas de mail som har skickats för att informera om utfall i tilldelning av bidrag, påminnelser om att lämna in kostnadsredovisningar och information i samband med utbetalningen. </w:t>
      </w:r>
    </w:p>
    <w:p w14:paraId="35245DC0" w14:textId="36B69F94" w:rsidR="00CD3E57" w:rsidRPr="009229F9" w:rsidRDefault="004E074B" w:rsidP="009229F9">
      <w:pPr>
        <w:rPr>
          <w:rFonts w:cstheme="minorHAnsi"/>
          <w:color w:val="000000"/>
        </w:rPr>
      </w:pPr>
      <w:r w:rsidRPr="009229F9">
        <w:rPr>
          <w:rFonts w:cstheme="minorHAnsi"/>
          <w:color w:val="000000"/>
        </w:rPr>
        <w:t xml:space="preserve">De kunder som fick sina ansökningar beviljade i februari hade deadline för att lämna in sina kostnadsredovisningar den 15 oktober. En viktig erfarenhet är att runt 60 beviljade ansökningar av 151 (ca 40%) fick strykas eftersom de trots påminnelser inte inkom med någon redovisning. Projektet hade förutsett att ett visst bortfall skulle ske och hade därför (med hjälp av ett tilläggsbidrag från Energieffektiviseringsfonden) beviljat ytterligare ett 20-tal ansökningar i juni 2020 (med deadline 15/12). </w:t>
      </w:r>
    </w:p>
    <w:p w14:paraId="3E97799E" w14:textId="74EA1B3B" w:rsidR="004E074B" w:rsidRPr="009229F9" w:rsidRDefault="004E074B" w:rsidP="009229F9">
      <w:pPr>
        <w:rPr>
          <w:rFonts w:cstheme="minorHAnsi"/>
        </w:rPr>
      </w:pPr>
      <w:r w:rsidRPr="009229F9">
        <w:rPr>
          <w:rFonts w:cstheme="minorHAnsi"/>
        </w:rPr>
        <w:t xml:space="preserve">Vid summering i slutet av december 2020 kan man konstatera att av det totala antalet sökta och beviljade ansökningar (inkl. de som beviljats som reserver) har 58 </w:t>
      </w:r>
      <w:r w:rsidR="00CB7F2A">
        <w:rPr>
          <w:rFonts w:cstheme="minorHAnsi"/>
        </w:rPr>
        <w:t>%</w:t>
      </w:r>
      <w:r w:rsidRPr="009229F9">
        <w:rPr>
          <w:rFonts w:cstheme="minorHAnsi"/>
        </w:rPr>
        <w:t xml:space="preserve"> (165 av 286 </w:t>
      </w:r>
      <w:proofErr w:type="spellStart"/>
      <w:r w:rsidRPr="009229F9">
        <w:rPr>
          <w:rFonts w:cstheme="minorHAnsi"/>
        </w:rPr>
        <w:t>st</w:t>
      </w:r>
      <w:proofErr w:type="spellEnd"/>
      <w:r w:rsidRPr="009229F9">
        <w:rPr>
          <w:rFonts w:cstheme="minorHAnsi"/>
        </w:rPr>
        <w:t>) bortfallit för utbetalning på grund av att de inte har inkommit med rätt underlag i rätt tid. Bortfallet är ganska lika mellan de båda försöksgrupperna (61</w:t>
      </w:r>
      <w:r w:rsidR="00CB7F2A">
        <w:rPr>
          <w:rFonts w:cstheme="minorHAnsi"/>
        </w:rPr>
        <w:t xml:space="preserve"> %</w:t>
      </w:r>
      <w:r w:rsidRPr="009229F9">
        <w:rPr>
          <w:rFonts w:cstheme="minorHAnsi"/>
        </w:rPr>
        <w:t xml:space="preserve"> i anbudsgruppen och 54 </w:t>
      </w:r>
      <w:r w:rsidR="00CB7F2A">
        <w:rPr>
          <w:rFonts w:cstheme="minorHAnsi"/>
        </w:rPr>
        <w:t>%</w:t>
      </w:r>
      <w:r w:rsidRPr="009229F9">
        <w:rPr>
          <w:rFonts w:cstheme="minorHAnsi"/>
        </w:rPr>
        <w:t xml:space="preserve"> i den fasta projektgruppen).</w:t>
      </w:r>
    </w:p>
    <w:p w14:paraId="22E1AAC2" w14:textId="5AF00D52" w:rsidR="00CB7F2A" w:rsidRDefault="004E074B" w:rsidP="00CB7F2A">
      <w:r w:rsidRPr="009229F9">
        <w:rPr>
          <w:rFonts w:cstheme="minorHAnsi"/>
        </w:rPr>
        <w:t>Covid-19 pandemin kan tänkas ha påverkat villaägarnas möjligheter att genomföra sina planerade åtgärder</w:t>
      </w:r>
      <w:r w:rsidR="00CD3E57" w:rsidRPr="009229F9">
        <w:rPr>
          <w:rFonts w:cstheme="minorHAnsi"/>
        </w:rPr>
        <w:t>.  Hur stort denna effekt har varit är dock svårt att uttala sig om.</w:t>
      </w:r>
      <w:r w:rsidRPr="009229F9">
        <w:rPr>
          <w:rFonts w:cstheme="minorHAnsi"/>
        </w:rPr>
        <w:t xml:space="preserve"> Ytterligare ett bortfall </w:t>
      </w:r>
      <w:r w:rsidR="00CB7F2A">
        <w:rPr>
          <w:rFonts w:cstheme="minorHAnsi"/>
        </w:rPr>
        <w:t xml:space="preserve">man </w:t>
      </w:r>
      <w:r w:rsidRPr="009229F9">
        <w:rPr>
          <w:rFonts w:cstheme="minorHAnsi"/>
        </w:rPr>
        <w:t xml:space="preserve">behöver ta hänsyn till är att många kunder inte har genomfört hela den </w:t>
      </w:r>
      <w:proofErr w:type="gramStart"/>
      <w:r w:rsidRPr="009229F9">
        <w:rPr>
          <w:rFonts w:cstheme="minorHAnsi"/>
        </w:rPr>
        <w:t>volym åtgärder</w:t>
      </w:r>
      <w:proofErr w:type="gramEnd"/>
      <w:r w:rsidRPr="009229F9">
        <w:rPr>
          <w:rFonts w:cstheme="minorHAnsi"/>
        </w:rPr>
        <w:t xml:space="preserve"> de har ansökt om, med följd att även effektbesparingen blir lägre än den som antogs när bidraget beviljades. Räknat i pengar på de ca. 112 st. </w:t>
      </w:r>
      <w:r w:rsidR="00CB7F2A">
        <w:rPr>
          <w:rFonts w:cstheme="minorHAnsi"/>
        </w:rPr>
        <w:t>u</w:t>
      </w:r>
      <w:r w:rsidRPr="009229F9">
        <w:rPr>
          <w:rFonts w:cstheme="minorHAnsi"/>
        </w:rPr>
        <w:t>tbetalningar som gjorts till och med 29:e december uppgick detta bortfall till ca 18 procent.</w:t>
      </w:r>
      <w:r w:rsidR="00CB7F2A">
        <w:t xml:space="preserve"> </w:t>
      </w:r>
    </w:p>
    <w:sectPr w:rsidR="00CB7F2A" w:rsidSect="003F5D40">
      <w:headerReference w:type="default" r:id="rId8"/>
      <w:footerReference w:type="default" r:id="rId9"/>
      <w:pgSz w:w="11906" w:h="16838"/>
      <w:pgMar w:top="1134"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EE305" w14:textId="77777777" w:rsidR="0072574E" w:rsidRDefault="0072574E" w:rsidP="009229F9">
      <w:pPr>
        <w:spacing w:after="0" w:line="240" w:lineRule="auto"/>
      </w:pPr>
      <w:r>
        <w:separator/>
      </w:r>
    </w:p>
  </w:endnote>
  <w:endnote w:type="continuationSeparator" w:id="0">
    <w:p w14:paraId="1C4DFA29" w14:textId="77777777" w:rsidR="0072574E" w:rsidRDefault="0072574E" w:rsidP="00922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1056265"/>
      <w:docPartObj>
        <w:docPartGallery w:val="Page Numbers (Bottom of Page)"/>
        <w:docPartUnique/>
      </w:docPartObj>
    </w:sdtPr>
    <w:sdtEndPr/>
    <w:sdtContent>
      <w:p w14:paraId="1177ADAC" w14:textId="55247E45" w:rsidR="009229F9" w:rsidRDefault="009229F9">
        <w:pPr>
          <w:pStyle w:val="Footer"/>
          <w:jc w:val="center"/>
        </w:pPr>
        <w:r>
          <w:fldChar w:fldCharType="begin"/>
        </w:r>
        <w:r>
          <w:instrText>PAGE   \* MERGEFORMAT</w:instrText>
        </w:r>
        <w:r>
          <w:fldChar w:fldCharType="separate"/>
        </w:r>
        <w:r>
          <w:t>2</w:t>
        </w:r>
        <w:r>
          <w:fldChar w:fldCharType="end"/>
        </w:r>
      </w:p>
    </w:sdtContent>
  </w:sdt>
  <w:p w14:paraId="1FDC8123" w14:textId="77777777" w:rsidR="009229F9" w:rsidRDefault="00922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DDB40" w14:textId="77777777" w:rsidR="0072574E" w:rsidRDefault="0072574E" w:rsidP="009229F9">
      <w:pPr>
        <w:spacing w:after="0" w:line="240" w:lineRule="auto"/>
      </w:pPr>
      <w:r>
        <w:separator/>
      </w:r>
    </w:p>
  </w:footnote>
  <w:footnote w:type="continuationSeparator" w:id="0">
    <w:p w14:paraId="675BCEE3" w14:textId="77777777" w:rsidR="0072574E" w:rsidRDefault="0072574E" w:rsidP="00922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41936" w14:textId="5BE5728D" w:rsidR="009229F9" w:rsidRDefault="009229F9" w:rsidP="009229F9">
    <w:pPr>
      <w:pStyle w:val="Header"/>
    </w:pPr>
    <w:r>
      <w:t>Jan Kristoffersson</w:t>
    </w:r>
    <w:r>
      <w:tab/>
      <w:t>2021-06-30</w:t>
    </w:r>
  </w:p>
  <w:p w14:paraId="5E18297F" w14:textId="5667F0BE" w:rsidR="009229F9" w:rsidRDefault="00922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71C00"/>
    <w:multiLevelType w:val="hybridMultilevel"/>
    <w:tmpl w:val="B552B5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278045C"/>
    <w:multiLevelType w:val="hybridMultilevel"/>
    <w:tmpl w:val="CE58C0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C102A77"/>
    <w:multiLevelType w:val="hybridMultilevel"/>
    <w:tmpl w:val="BB6CABC0"/>
    <w:lvl w:ilvl="0" w:tplc="CE10B672">
      <w:numFmt w:val="bullet"/>
      <w:lvlText w:val="•"/>
      <w:lvlJc w:val="left"/>
      <w:pPr>
        <w:ind w:left="1300" w:hanging="130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03770E4"/>
    <w:multiLevelType w:val="hybridMultilevel"/>
    <w:tmpl w:val="78B05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8073512"/>
    <w:multiLevelType w:val="hybridMultilevel"/>
    <w:tmpl w:val="6E66B1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D4774ED"/>
    <w:multiLevelType w:val="hybridMultilevel"/>
    <w:tmpl w:val="D8BAF6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D8141E1"/>
    <w:multiLevelType w:val="hybridMultilevel"/>
    <w:tmpl w:val="E1E81ED8"/>
    <w:lvl w:ilvl="0" w:tplc="CE10B672">
      <w:numFmt w:val="bullet"/>
      <w:lvlText w:val="•"/>
      <w:lvlJc w:val="left"/>
      <w:pPr>
        <w:ind w:left="1300" w:hanging="1300"/>
      </w:pPr>
      <w:rPr>
        <w:rFonts w:ascii="Times New Roman" w:eastAsiaTheme="minorHAnsi"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782565AC"/>
    <w:multiLevelType w:val="hybridMultilevel"/>
    <w:tmpl w:val="745C8A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D4C16E5"/>
    <w:multiLevelType w:val="hybridMultilevel"/>
    <w:tmpl w:val="18FAAE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3"/>
  </w:num>
  <w:num w:numId="5">
    <w:abstractNumId w:val="1"/>
  </w:num>
  <w:num w:numId="6">
    <w:abstractNumId w:val="4"/>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17D"/>
    <w:rsid w:val="0005706D"/>
    <w:rsid w:val="001051FC"/>
    <w:rsid w:val="001755CE"/>
    <w:rsid w:val="001A32D0"/>
    <w:rsid w:val="00293505"/>
    <w:rsid w:val="00315641"/>
    <w:rsid w:val="00377036"/>
    <w:rsid w:val="003827CB"/>
    <w:rsid w:val="003F5D40"/>
    <w:rsid w:val="004E074B"/>
    <w:rsid w:val="006D29FA"/>
    <w:rsid w:val="0072574E"/>
    <w:rsid w:val="008C54DC"/>
    <w:rsid w:val="00917C82"/>
    <w:rsid w:val="009229F9"/>
    <w:rsid w:val="00AA2AB8"/>
    <w:rsid w:val="00B31DC3"/>
    <w:rsid w:val="00CB7F2A"/>
    <w:rsid w:val="00CD3E57"/>
    <w:rsid w:val="00D9117D"/>
    <w:rsid w:val="00DA176C"/>
    <w:rsid w:val="00E0611B"/>
    <w:rsid w:val="00E71F79"/>
    <w:rsid w:val="00EE52DA"/>
    <w:rsid w:val="00F0551E"/>
    <w:rsid w:val="00FC2B9E"/>
    <w:rsid w:val="00FE17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83D99"/>
  <w15:chartTrackingRefBased/>
  <w15:docId w15:val="{BB0E5A04-E5C3-4DF1-B93C-ABC98861F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9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827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827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827C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117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E074B"/>
    <w:pPr>
      <w:spacing w:after="200" w:line="276" w:lineRule="auto"/>
      <w:ind w:left="720"/>
      <w:contextualSpacing/>
    </w:pPr>
  </w:style>
  <w:style w:type="table" w:styleId="TableGrid">
    <w:name w:val="Table Grid"/>
    <w:basedOn w:val="TableNormal"/>
    <w:uiPriority w:val="39"/>
    <w:rsid w:val="004E0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29F9"/>
    <w:pPr>
      <w:tabs>
        <w:tab w:val="center" w:pos="4536"/>
        <w:tab w:val="right" w:pos="9072"/>
      </w:tabs>
      <w:spacing w:after="0" w:line="240" w:lineRule="auto"/>
    </w:pPr>
  </w:style>
  <w:style w:type="character" w:customStyle="1" w:styleId="HeaderChar">
    <w:name w:val="Header Char"/>
    <w:basedOn w:val="DefaultParagraphFont"/>
    <w:link w:val="Header"/>
    <w:uiPriority w:val="99"/>
    <w:rsid w:val="009229F9"/>
  </w:style>
  <w:style w:type="paragraph" w:styleId="Footer">
    <w:name w:val="footer"/>
    <w:basedOn w:val="Normal"/>
    <w:link w:val="FooterChar"/>
    <w:uiPriority w:val="99"/>
    <w:unhideWhenUsed/>
    <w:rsid w:val="009229F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229F9"/>
  </w:style>
  <w:style w:type="character" w:customStyle="1" w:styleId="Heading1Char">
    <w:name w:val="Heading 1 Char"/>
    <w:basedOn w:val="DefaultParagraphFont"/>
    <w:link w:val="Heading1"/>
    <w:uiPriority w:val="9"/>
    <w:rsid w:val="009229F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827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827C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827C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74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6</Pages>
  <Words>2974</Words>
  <Characters>15767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Kristoffersson</dc:creator>
  <cp:keywords/>
  <dc:description/>
  <cp:lastModifiedBy>Jan Kristoffersson</cp:lastModifiedBy>
  <cp:revision>7</cp:revision>
  <dcterms:created xsi:type="dcterms:W3CDTF">2021-05-19T11:17:00Z</dcterms:created>
  <dcterms:modified xsi:type="dcterms:W3CDTF">2021-06-30T07:14:00Z</dcterms:modified>
</cp:coreProperties>
</file>