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9082" w14:textId="77777777" w:rsidR="00FA65E0" w:rsidRPr="00802D56" w:rsidRDefault="00FA65E0" w:rsidP="00802D56">
      <w:pPr>
        <w:spacing w:before="4000"/>
        <w:rPr>
          <w:rFonts w:ascii="Arial" w:hAnsi="Arial" w:cs="Arial"/>
          <w:sz w:val="34"/>
          <w:szCs w:val="34"/>
        </w:rPr>
      </w:pPr>
      <w:r w:rsidRPr="00802D56">
        <w:rPr>
          <w:rFonts w:ascii="Arial" w:hAnsi="Arial" w:cs="Arial"/>
          <w:sz w:val="34"/>
          <w:szCs w:val="34"/>
        </w:rPr>
        <w:t xml:space="preserve">Projekt </w:t>
      </w:r>
      <w:r w:rsidR="00C63393" w:rsidRPr="00802D56">
        <w:rPr>
          <w:rFonts w:ascii="Arial" w:hAnsi="Arial" w:cs="Arial"/>
          <w:sz w:val="34"/>
          <w:szCs w:val="34"/>
        </w:rPr>
        <w:t>Mariestads Stadskvarn -</w:t>
      </w:r>
      <w:r w:rsidRPr="00802D56">
        <w:rPr>
          <w:rFonts w:ascii="Arial" w:hAnsi="Arial" w:cs="Arial"/>
          <w:sz w:val="34"/>
          <w:szCs w:val="34"/>
        </w:rPr>
        <w:t xml:space="preserve"> slutrapport</w:t>
      </w:r>
    </w:p>
    <w:p w14:paraId="453BA8F6" w14:textId="77777777" w:rsidR="00436C38" w:rsidRDefault="00436C38" w:rsidP="00436C38">
      <w:pPr>
        <w:spacing w:after="2000"/>
      </w:pPr>
      <w:r>
        <w:rPr>
          <w:noProof/>
          <w:lang w:eastAsia="sv-SE"/>
        </w:rPr>
        <w:drawing>
          <wp:inline distT="0" distB="0" distL="0" distR="0" wp14:anchorId="3269B1ED" wp14:editId="1BDB9403">
            <wp:extent cx="5760720" cy="3240405"/>
            <wp:effectExtent l="0" t="0" r="0" b="0"/>
            <wp:docPr id="2" name="Bildobjekt 2" descr="Flygbild över området vid Stadskvarnen efter åtgärd." title="Förstasides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JI_0022.jpg"/>
                    <pic:cNvPicPr/>
                  </pic:nvPicPr>
                  <pic:blipFill>
                    <a:blip r:embed="rId8">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1CCDC820" w14:textId="77777777" w:rsidR="00436C38" w:rsidRPr="00436C38" w:rsidRDefault="00436C38" w:rsidP="00436C38">
      <w:pPr>
        <w:spacing w:after="2000"/>
      </w:pPr>
      <w:r>
        <w:t>Verksamhet miljö och bygg</w:t>
      </w:r>
      <w:r w:rsidR="004F24C6">
        <w:br/>
        <w:t>Miljöutredare Håkan Magnusson</w:t>
      </w:r>
      <w:r>
        <w:br/>
      </w:r>
      <w:r w:rsidR="00EA0BCC">
        <w:t>2022-01-18</w:t>
      </w:r>
      <w:r>
        <w:br w:type="page"/>
      </w:r>
    </w:p>
    <w:sdt>
      <w:sdtPr>
        <w:rPr>
          <w:rFonts w:asciiTheme="minorHAnsi" w:eastAsiaTheme="minorHAnsi" w:hAnsiTheme="minorHAnsi" w:cstheme="minorBidi"/>
          <w:color w:val="auto"/>
          <w:sz w:val="22"/>
          <w:szCs w:val="22"/>
          <w:lang w:eastAsia="en-US"/>
        </w:rPr>
        <w:id w:val="-714355267"/>
        <w:docPartObj>
          <w:docPartGallery w:val="Table of Contents"/>
          <w:docPartUnique/>
        </w:docPartObj>
      </w:sdtPr>
      <w:sdtEndPr>
        <w:rPr>
          <w:b/>
          <w:bCs/>
        </w:rPr>
      </w:sdtEndPr>
      <w:sdtContent>
        <w:p w14:paraId="1D83368A" w14:textId="77777777" w:rsidR="00645560" w:rsidRPr="00645560" w:rsidRDefault="00645560" w:rsidP="00802D56">
          <w:pPr>
            <w:pStyle w:val="Innehllsfrteckningsrubrik"/>
            <w:spacing w:after="120"/>
            <w:rPr>
              <w:rStyle w:val="Rubrik3Char"/>
              <w:color w:val="auto"/>
            </w:rPr>
          </w:pPr>
          <w:r w:rsidRPr="00645560">
            <w:rPr>
              <w:rStyle w:val="Rubrik3Char"/>
              <w:color w:val="auto"/>
            </w:rPr>
            <w:t>Innehåll</w:t>
          </w:r>
        </w:p>
        <w:p w14:paraId="4DD0077A" w14:textId="77777777" w:rsidR="00802D56" w:rsidRDefault="00645560">
          <w:pPr>
            <w:pStyle w:val="Innehll2"/>
            <w:tabs>
              <w:tab w:val="right" w:leader="dot" w:pos="9062"/>
            </w:tabs>
            <w:rPr>
              <w:rFonts w:eastAsiaTheme="minorEastAsia"/>
              <w:noProof/>
              <w:lang w:eastAsia="sv-SE"/>
            </w:rPr>
          </w:pPr>
          <w:r>
            <w:fldChar w:fldCharType="begin"/>
          </w:r>
          <w:r>
            <w:instrText xml:space="preserve"> TOC \o "1-3" \h \z \u </w:instrText>
          </w:r>
          <w:r>
            <w:fldChar w:fldCharType="separate"/>
          </w:r>
          <w:hyperlink w:anchor="_Toc88832486" w:history="1">
            <w:r w:rsidR="00802D56" w:rsidRPr="00332341">
              <w:rPr>
                <w:rStyle w:val="Hyperlnk"/>
                <w:noProof/>
              </w:rPr>
              <w:t>Inledning</w:t>
            </w:r>
            <w:r w:rsidR="00802D56">
              <w:rPr>
                <w:noProof/>
                <w:webHidden/>
              </w:rPr>
              <w:tab/>
            </w:r>
            <w:r w:rsidR="00802D56">
              <w:rPr>
                <w:noProof/>
                <w:webHidden/>
              </w:rPr>
              <w:fldChar w:fldCharType="begin"/>
            </w:r>
            <w:r w:rsidR="00802D56">
              <w:rPr>
                <w:noProof/>
                <w:webHidden/>
              </w:rPr>
              <w:instrText xml:space="preserve"> PAGEREF _Toc88832486 \h </w:instrText>
            </w:r>
            <w:r w:rsidR="00802D56">
              <w:rPr>
                <w:noProof/>
                <w:webHidden/>
              </w:rPr>
            </w:r>
            <w:r w:rsidR="00802D56">
              <w:rPr>
                <w:noProof/>
                <w:webHidden/>
              </w:rPr>
              <w:fldChar w:fldCharType="separate"/>
            </w:r>
            <w:r w:rsidR="00A92231">
              <w:rPr>
                <w:noProof/>
                <w:webHidden/>
              </w:rPr>
              <w:t>3</w:t>
            </w:r>
            <w:r w:rsidR="00802D56">
              <w:rPr>
                <w:noProof/>
                <w:webHidden/>
              </w:rPr>
              <w:fldChar w:fldCharType="end"/>
            </w:r>
          </w:hyperlink>
        </w:p>
        <w:p w14:paraId="40BBA7C4" w14:textId="77777777" w:rsidR="00802D56" w:rsidRDefault="00253D89">
          <w:pPr>
            <w:pStyle w:val="Innehll2"/>
            <w:tabs>
              <w:tab w:val="right" w:leader="dot" w:pos="9062"/>
            </w:tabs>
            <w:rPr>
              <w:rFonts w:eastAsiaTheme="minorEastAsia"/>
              <w:noProof/>
              <w:lang w:eastAsia="sv-SE"/>
            </w:rPr>
          </w:pPr>
          <w:hyperlink w:anchor="_Toc88832487" w:history="1">
            <w:r w:rsidR="00802D56" w:rsidRPr="00332341">
              <w:rPr>
                <w:rStyle w:val="Hyperlnk"/>
                <w:noProof/>
              </w:rPr>
              <w:t>Bakgrund</w:t>
            </w:r>
            <w:r w:rsidR="00802D56">
              <w:rPr>
                <w:noProof/>
                <w:webHidden/>
              </w:rPr>
              <w:tab/>
            </w:r>
            <w:r w:rsidR="00802D56">
              <w:rPr>
                <w:noProof/>
                <w:webHidden/>
              </w:rPr>
              <w:fldChar w:fldCharType="begin"/>
            </w:r>
            <w:r w:rsidR="00802D56">
              <w:rPr>
                <w:noProof/>
                <w:webHidden/>
              </w:rPr>
              <w:instrText xml:space="preserve"> PAGEREF _Toc88832487 \h </w:instrText>
            </w:r>
            <w:r w:rsidR="00802D56">
              <w:rPr>
                <w:noProof/>
                <w:webHidden/>
              </w:rPr>
            </w:r>
            <w:r w:rsidR="00802D56">
              <w:rPr>
                <w:noProof/>
                <w:webHidden/>
              </w:rPr>
              <w:fldChar w:fldCharType="separate"/>
            </w:r>
            <w:r w:rsidR="00A92231">
              <w:rPr>
                <w:noProof/>
                <w:webHidden/>
              </w:rPr>
              <w:t>3</w:t>
            </w:r>
            <w:r w:rsidR="00802D56">
              <w:rPr>
                <w:noProof/>
                <w:webHidden/>
              </w:rPr>
              <w:fldChar w:fldCharType="end"/>
            </w:r>
          </w:hyperlink>
        </w:p>
        <w:p w14:paraId="7A1FD8E0" w14:textId="77777777" w:rsidR="00802D56" w:rsidRDefault="00253D89">
          <w:pPr>
            <w:pStyle w:val="Innehll2"/>
            <w:tabs>
              <w:tab w:val="right" w:leader="dot" w:pos="9062"/>
            </w:tabs>
            <w:rPr>
              <w:rFonts w:eastAsiaTheme="minorEastAsia"/>
              <w:noProof/>
              <w:lang w:eastAsia="sv-SE"/>
            </w:rPr>
          </w:pPr>
          <w:hyperlink w:anchor="_Toc88832488" w:history="1">
            <w:r w:rsidR="00802D56" w:rsidRPr="00332341">
              <w:rPr>
                <w:rStyle w:val="Hyperlnk"/>
                <w:noProof/>
              </w:rPr>
              <w:t>Utförda åtgärder</w:t>
            </w:r>
            <w:r w:rsidR="00802D56">
              <w:rPr>
                <w:noProof/>
                <w:webHidden/>
              </w:rPr>
              <w:tab/>
            </w:r>
            <w:r w:rsidR="00802D56">
              <w:rPr>
                <w:noProof/>
                <w:webHidden/>
              </w:rPr>
              <w:fldChar w:fldCharType="begin"/>
            </w:r>
            <w:r w:rsidR="00802D56">
              <w:rPr>
                <w:noProof/>
                <w:webHidden/>
              </w:rPr>
              <w:instrText xml:space="preserve"> PAGEREF _Toc88832488 \h </w:instrText>
            </w:r>
            <w:r w:rsidR="00802D56">
              <w:rPr>
                <w:noProof/>
                <w:webHidden/>
              </w:rPr>
            </w:r>
            <w:r w:rsidR="00802D56">
              <w:rPr>
                <w:noProof/>
                <w:webHidden/>
              </w:rPr>
              <w:fldChar w:fldCharType="separate"/>
            </w:r>
            <w:r w:rsidR="00A92231">
              <w:rPr>
                <w:noProof/>
                <w:webHidden/>
              </w:rPr>
              <w:t>3</w:t>
            </w:r>
            <w:r w:rsidR="00802D56">
              <w:rPr>
                <w:noProof/>
                <w:webHidden/>
              </w:rPr>
              <w:fldChar w:fldCharType="end"/>
            </w:r>
          </w:hyperlink>
        </w:p>
        <w:p w14:paraId="32CFFEF0" w14:textId="77777777" w:rsidR="00802D56" w:rsidRDefault="00253D89">
          <w:pPr>
            <w:pStyle w:val="Innehll3"/>
            <w:tabs>
              <w:tab w:val="right" w:leader="dot" w:pos="9062"/>
            </w:tabs>
            <w:rPr>
              <w:rFonts w:eastAsiaTheme="minorEastAsia"/>
              <w:noProof/>
              <w:lang w:eastAsia="sv-SE"/>
            </w:rPr>
          </w:pPr>
          <w:hyperlink w:anchor="_Toc88832489" w:history="1">
            <w:r w:rsidR="00802D56" w:rsidRPr="00332341">
              <w:rPr>
                <w:rStyle w:val="Hyperlnk"/>
                <w:noProof/>
              </w:rPr>
              <w:t>Fysiska åtgärder</w:t>
            </w:r>
            <w:r w:rsidR="00802D56">
              <w:rPr>
                <w:noProof/>
                <w:webHidden/>
              </w:rPr>
              <w:tab/>
            </w:r>
            <w:r w:rsidR="00802D56">
              <w:rPr>
                <w:noProof/>
                <w:webHidden/>
              </w:rPr>
              <w:fldChar w:fldCharType="begin"/>
            </w:r>
            <w:r w:rsidR="00802D56">
              <w:rPr>
                <w:noProof/>
                <w:webHidden/>
              </w:rPr>
              <w:instrText xml:space="preserve"> PAGEREF _Toc88832489 \h </w:instrText>
            </w:r>
            <w:r w:rsidR="00802D56">
              <w:rPr>
                <w:noProof/>
                <w:webHidden/>
              </w:rPr>
            </w:r>
            <w:r w:rsidR="00802D56">
              <w:rPr>
                <w:noProof/>
                <w:webHidden/>
              </w:rPr>
              <w:fldChar w:fldCharType="separate"/>
            </w:r>
            <w:r w:rsidR="00A92231">
              <w:rPr>
                <w:noProof/>
                <w:webHidden/>
              </w:rPr>
              <w:t>3</w:t>
            </w:r>
            <w:r w:rsidR="00802D56">
              <w:rPr>
                <w:noProof/>
                <w:webHidden/>
              </w:rPr>
              <w:fldChar w:fldCharType="end"/>
            </w:r>
          </w:hyperlink>
        </w:p>
        <w:p w14:paraId="707416E0" w14:textId="77777777" w:rsidR="00802D56" w:rsidRDefault="00253D89">
          <w:pPr>
            <w:pStyle w:val="Innehll3"/>
            <w:tabs>
              <w:tab w:val="right" w:leader="dot" w:pos="9062"/>
            </w:tabs>
            <w:rPr>
              <w:rFonts w:eastAsiaTheme="minorEastAsia"/>
              <w:noProof/>
              <w:lang w:eastAsia="sv-SE"/>
            </w:rPr>
          </w:pPr>
          <w:hyperlink w:anchor="_Toc88832490" w:history="1">
            <w:r w:rsidR="00802D56" w:rsidRPr="00332341">
              <w:rPr>
                <w:rStyle w:val="Hyperlnk"/>
                <w:noProof/>
              </w:rPr>
              <w:t>Undersökningar</w:t>
            </w:r>
            <w:r w:rsidR="00802D56">
              <w:rPr>
                <w:noProof/>
                <w:webHidden/>
              </w:rPr>
              <w:tab/>
            </w:r>
            <w:r w:rsidR="00802D56">
              <w:rPr>
                <w:noProof/>
                <w:webHidden/>
              </w:rPr>
              <w:fldChar w:fldCharType="begin"/>
            </w:r>
            <w:r w:rsidR="00802D56">
              <w:rPr>
                <w:noProof/>
                <w:webHidden/>
              </w:rPr>
              <w:instrText xml:space="preserve"> PAGEREF _Toc88832490 \h </w:instrText>
            </w:r>
            <w:r w:rsidR="00802D56">
              <w:rPr>
                <w:noProof/>
                <w:webHidden/>
              </w:rPr>
            </w:r>
            <w:r w:rsidR="00802D56">
              <w:rPr>
                <w:noProof/>
                <w:webHidden/>
              </w:rPr>
              <w:fldChar w:fldCharType="separate"/>
            </w:r>
            <w:r w:rsidR="00A92231">
              <w:rPr>
                <w:noProof/>
                <w:webHidden/>
              </w:rPr>
              <w:t>4</w:t>
            </w:r>
            <w:r w:rsidR="00802D56">
              <w:rPr>
                <w:noProof/>
                <w:webHidden/>
              </w:rPr>
              <w:fldChar w:fldCharType="end"/>
            </w:r>
          </w:hyperlink>
        </w:p>
        <w:p w14:paraId="309E797A" w14:textId="77777777" w:rsidR="00802D56" w:rsidRDefault="00253D89">
          <w:pPr>
            <w:pStyle w:val="Innehll2"/>
            <w:tabs>
              <w:tab w:val="right" w:leader="dot" w:pos="9062"/>
            </w:tabs>
            <w:rPr>
              <w:rFonts w:eastAsiaTheme="minorEastAsia"/>
              <w:noProof/>
              <w:lang w:eastAsia="sv-SE"/>
            </w:rPr>
          </w:pPr>
          <w:hyperlink w:anchor="_Toc88832491" w:history="1">
            <w:r w:rsidR="00802D56" w:rsidRPr="00332341">
              <w:rPr>
                <w:rStyle w:val="Hyperlnk"/>
                <w:noProof/>
              </w:rPr>
              <w:t>Ekonomisk redovisning</w:t>
            </w:r>
            <w:r w:rsidR="00802D56">
              <w:rPr>
                <w:noProof/>
                <w:webHidden/>
              </w:rPr>
              <w:tab/>
            </w:r>
            <w:r w:rsidR="00802D56">
              <w:rPr>
                <w:noProof/>
                <w:webHidden/>
              </w:rPr>
              <w:fldChar w:fldCharType="begin"/>
            </w:r>
            <w:r w:rsidR="00802D56">
              <w:rPr>
                <w:noProof/>
                <w:webHidden/>
              </w:rPr>
              <w:instrText xml:space="preserve"> PAGEREF _Toc88832491 \h </w:instrText>
            </w:r>
            <w:r w:rsidR="00802D56">
              <w:rPr>
                <w:noProof/>
                <w:webHidden/>
              </w:rPr>
            </w:r>
            <w:r w:rsidR="00802D56">
              <w:rPr>
                <w:noProof/>
                <w:webHidden/>
              </w:rPr>
              <w:fldChar w:fldCharType="separate"/>
            </w:r>
            <w:r w:rsidR="00A92231">
              <w:rPr>
                <w:noProof/>
                <w:webHidden/>
              </w:rPr>
              <w:t>4</w:t>
            </w:r>
            <w:r w:rsidR="00802D56">
              <w:rPr>
                <w:noProof/>
                <w:webHidden/>
              </w:rPr>
              <w:fldChar w:fldCharType="end"/>
            </w:r>
          </w:hyperlink>
        </w:p>
        <w:p w14:paraId="4AA6F897" w14:textId="77777777" w:rsidR="00802D56" w:rsidRDefault="00253D89">
          <w:pPr>
            <w:pStyle w:val="Innehll2"/>
            <w:tabs>
              <w:tab w:val="right" w:leader="dot" w:pos="9062"/>
            </w:tabs>
            <w:rPr>
              <w:rFonts w:eastAsiaTheme="minorEastAsia"/>
              <w:noProof/>
              <w:lang w:eastAsia="sv-SE"/>
            </w:rPr>
          </w:pPr>
          <w:hyperlink w:anchor="_Toc88832492" w:history="1">
            <w:r w:rsidR="00802D56" w:rsidRPr="00332341">
              <w:rPr>
                <w:rStyle w:val="Hyperlnk"/>
                <w:noProof/>
              </w:rPr>
              <w:t>Finansiering</w:t>
            </w:r>
            <w:r w:rsidR="00802D56">
              <w:rPr>
                <w:noProof/>
                <w:webHidden/>
              </w:rPr>
              <w:tab/>
            </w:r>
            <w:r w:rsidR="00802D56">
              <w:rPr>
                <w:noProof/>
                <w:webHidden/>
              </w:rPr>
              <w:fldChar w:fldCharType="begin"/>
            </w:r>
            <w:r w:rsidR="00802D56">
              <w:rPr>
                <w:noProof/>
                <w:webHidden/>
              </w:rPr>
              <w:instrText xml:space="preserve"> PAGEREF _Toc88832492 \h </w:instrText>
            </w:r>
            <w:r w:rsidR="00802D56">
              <w:rPr>
                <w:noProof/>
                <w:webHidden/>
              </w:rPr>
            </w:r>
            <w:r w:rsidR="00802D56">
              <w:rPr>
                <w:noProof/>
                <w:webHidden/>
              </w:rPr>
              <w:fldChar w:fldCharType="separate"/>
            </w:r>
            <w:r w:rsidR="00A92231">
              <w:rPr>
                <w:noProof/>
                <w:webHidden/>
              </w:rPr>
              <w:t>4</w:t>
            </w:r>
            <w:r w:rsidR="00802D56">
              <w:rPr>
                <w:noProof/>
                <w:webHidden/>
              </w:rPr>
              <w:fldChar w:fldCharType="end"/>
            </w:r>
          </w:hyperlink>
        </w:p>
        <w:p w14:paraId="029B8656" w14:textId="77777777" w:rsidR="00802D56" w:rsidRDefault="00253D89">
          <w:pPr>
            <w:pStyle w:val="Innehll2"/>
            <w:tabs>
              <w:tab w:val="right" w:leader="dot" w:pos="9062"/>
            </w:tabs>
            <w:rPr>
              <w:rFonts w:eastAsiaTheme="minorEastAsia"/>
              <w:noProof/>
              <w:lang w:eastAsia="sv-SE"/>
            </w:rPr>
          </w:pPr>
          <w:hyperlink w:anchor="_Toc88832493" w:history="1">
            <w:r w:rsidR="00802D56" w:rsidRPr="00332341">
              <w:rPr>
                <w:rStyle w:val="Hyperlnk"/>
                <w:noProof/>
              </w:rPr>
              <w:t>Organisation</w:t>
            </w:r>
            <w:r w:rsidR="00802D56">
              <w:rPr>
                <w:noProof/>
                <w:webHidden/>
              </w:rPr>
              <w:tab/>
            </w:r>
            <w:r w:rsidR="00802D56">
              <w:rPr>
                <w:noProof/>
                <w:webHidden/>
              </w:rPr>
              <w:fldChar w:fldCharType="begin"/>
            </w:r>
            <w:r w:rsidR="00802D56">
              <w:rPr>
                <w:noProof/>
                <w:webHidden/>
              </w:rPr>
              <w:instrText xml:space="preserve"> PAGEREF _Toc88832493 \h </w:instrText>
            </w:r>
            <w:r w:rsidR="00802D56">
              <w:rPr>
                <w:noProof/>
                <w:webHidden/>
              </w:rPr>
            </w:r>
            <w:r w:rsidR="00802D56">
              <w:rPr>
                <w:noProof/>
                <w:webHidden/>
              </w:rPr>
              <w:fldChar w:fldCharType="separate"/>
            </w:r>
            <w:r w:rsidR="00A92231">
              <w:rPr>
                <w:noProof/>
                <w:webHidden/>
              </w:rPr>
              <w:t>5</w:t>
            </w:r>
            <w:r w:rsidR="00802D56">
              <w:rPr>
                <w:noProof/>
                <w:webHidden/>
              </w:rPr>
              <w:fldChar w:fldCharType="end"/>
            </w:r>
          </w:hyperlink>
        </w:p>
        <w:p w14:paraId="237D3DAD" w14:textId="77777777" w:rsidR="00802D56" w:rsidRDefault="00253D89">
          <w:pPr>
            <w:pStyle w:val="Innehll2"/>
            <w:tabs>
              <w:tab w:val="right" w:leader="dot" w:pos="9062"/>
            </w:tabs>
            <w:rPr>
              <w:rFonts w:eastAsiaTheme="minorEastAsia"/>
              <w:noProof/>
              <w:lang w:eastAsia="sv-SE"/>
            </w:rPr>
          </w:pPr>
          <w:hyperlink w:anchor="_Toc88832494" w:history="1">
            <w:r w:rsidR="00802D56" w:rsidRPr="00332341">
              <w:rPr>
                <w:rStyle w:val="Hyperlnk"/>
                <w:noProof/>
              </w:rPr>
              <w:t>Bedömda effekter</w:t>
            </w:r>
            <w:r w:rsidR="00802D56">
              <w:rPr>
                <w:noProof/>
                <w:webHidden/>
              </w:rPr>
              <w:tab/>
            </w:r>
            <w:r w:rsidR="00802D56">
              <w:rPr>
                <w:noProof/>
                <w:webHidden/>
              </w:rPr>
              <w:fldChar w:fldCharType="begin"/>
            </w:r>
            <w:r w:rsidR="00802D56">
              <w:rPr>
                <w:noProof/>
                <w:webHidden/>
              </w:rPr>
              <w:instrText xml:space="preserve"> PAGEREF _Toc88832494 \h </w:instrText>
            </w:r>
            <w:r w:rsidR="00802D56">
              <w:rPr>
                <w:noProof/>
                <w:webHidden/>
              </w:rPr>
            </w:r>
            <w:r w:rsidR="00802D56">
              <w:rPr>
                <w:noProof/>
                <w:webHidden/>
              </w:rPr>
              <w:fldChar w:fldCharType="separate"/>
            </w:r>
            <w:r w:rsidR="00A92231">
              <w:rPr>
                <w:noProof/>
                <w:webHidden/>
              </w:rPr>
              <w:t>5</w:t>
            </w:r>
            <w:r w:rsidR="00802D56">
              <w:rPr>
                <w:noProof/>
                <w:webHidden/>
              </w:rPr>
              <w:fldChar w:fldCharType="end"/>
            </w:r>
          </w:hyperlink>
        </w:p>
        <w:p w14:paraId="16B3E4AD" w14:textId="77777777" w:rsidR="00802D56" w:rsidRDefault="00253D89">
          <w:pPr>
            <w:pStyle w:val="Innehll2"/>
            <w:tabs>
              <w:tab w:val="right" w:leader="dot" w:pos="9062"/>
            </w:tabs>
            <w:rPr>
              <w:rFonts w:eastAsiaTheme="minorEastAsia"/>
              <w:noProof/>
              <w:lang w:eastAsia="sv-SE"/>
            </w:rPr>
          </w:pPr>
          <w:hyperlink w:anchor="_Toc88832495" w:history="1">
            <w:r w:rsidR="00802D56" w:rsidRPr="00332341">
              <w:rPr>
                <w:rStyle w:val="Hyperlnk"/>
                <w:noProof/>
              </w:rPr>
              <w:t>Bilagor</w:t>
            </w:r>
            <w:r w:rsidR="00802D56">
              <w:rPr>
                <w:noProof/>
                <w:webHidden/>
              </w:rPr>
              <w:tab/>
            </w:r>
            <w:r w:rsidR="00802D56">
              <w:rPr>
                <w:noProof/>
                <w:webHidden/>
              </w:rPr>
              <w:fldChar w:fldCharType="begin"/>
            </w:r>
            <w:r w:rsidR="00802D56">
              <w:rPr>
                <w:noProof/>
                <w:webHidden/>
              </w:rPr>
              <w:instrText xml:space="preserve"> PAGEREF _Toc88832495 \h </w:instrText>
            </w:r>
            <w:r w:rsidR="00802D56">
              <w:rPr>
                <w:noProof/>
                <w:webHidden/>
              </w:rPr>
            </w:r>
            <w:r w:rsidR="00802D56">
              <w:rPr>
                <w:noProof/>
                <w:webHidden/>
              </w:rPr>
              <w:fldChar w:fldCharType="separate"/>
            </w:r>
            <w:r w:rsidR="00A92231">
              <w:rPr>
                <w:noProof/>
                <w:webHidden/>
              </w:rPr>
              <w:t>6</w:t>
            </w:r>
            <w:r w:rsidR="00802D56">
              <w:rPr>
                <w:noProof/>
                <w:webHidden/>
              </w:rPr>
              <w:fldChar w:fldCharType="end"/>
            </w:r>
          </w:hyperlink>
        </w:p>
        <w:p w14:paraId="0E588EA0" w14:textId="77777777" w:rsidR="00645560" w:rsidRDefault="00645560">
          <w:r>
            <w:rPr>
              <w:b/>
              <w:bCs/>
            </w:rPr>
            <w:fldChar w:fldCharType="end"/>
          </w:r>
        </w:p>
      </w:sdtContent>
    </w:sdt>
    <w:p w14:paraId="7664586E" w14:textId="77777777" w:rsidR="00436C38" w:rsidRPr="00436C38" w:rsidRDefault="00436C38" w:rsidP="00436C38"/>
    <w:p w14:paraId="02A158AB" w14:textId="77777777" w:rsidR="00645560" w:rsidRDefault="00645560">
      <w:pPr>
        <w:rPr>
          <w:rFonts w:ascii="Arial" w:hAnsi="Arial" w:cs="Arial"/>
          <w:sz w:val="28"/>
          <w:szCs w:val="28"/>
        </w:rPr>
      </w:pPr>
      <w:r>
        <w:br w:type="page"/>
      </w:r>
    </w:p>
    <w:p w14:paraId="02D35065" w14:textId="77777777" w:rsidR="00FA65E0" w:rsidRPr="00C63393" w:rsidRDefault="00FA65E0" w:rsidP="00C63393">
      <w:pPr>
        <w:pStyle w:val="Rubrik2"/>
      </w:pPr>
      <w:bookmarkStart w:id="0" w:name="_Toc88832486"/>
      <w:r w:rsidRPr="00C63393">
        <w:lastRenderedPageBreak/>
        <w:t>Inledning</w:t>
      </w:r>
      <w:bookmarkEnd w:id="0"/>
    </w:p>
    <w:p w14:paraId="7FBFF5FA" w14:textId="77777777" w:rsidR="00146E28" w:rsidRDefault="00146E28">
      <w:pPr>
        <w:rPr>
          <w:rFonts w:ascii="Garamond" w:hAnsi="Garamond"/>
          <w:sz w:val="24"/>
          <w:szCs w:val="24"/>
        </w:rPr>
      </w:pPr>
      <w:r w:rsidRPr="00146E28">
        <w:rPr>
          <w:rFonts w:ascii="Garamond" w:hAnsi="Garamond"/>
          <w:sz w:val="24"/>
          <w:szCs w:val="24"/>
        </w:rPr>
        <w:t>VänerEnergi AB har i samverkan med Mariestads kommun genomfört åtgärder vid Stadskvarnens vattenkraftverk i syfte att skapa fri vandringsväg för fisk, samt tillgodose fördelning av vatten inom området även vid lågvattenföring.</w:t>
      </w:r>
    </w:p>
    <w:p w14:paraId="024C6D02" w14:textId="77777777" w:rsidR="00C63393" w:rsidRDefault="00C63393" w:rsidP="00C63393">
      <w:pPr>
        <w:pStyle w:val="Rubrik2"/>
      </w:pPr>
      <w:bookmarkStart w:id="1" w:name="_Toc88832487"/>
      <w:r>
        <w:t>Bakgrund</w:t>
      </w:r>
      <w:bookmarkEnd w:id="1"/>
    </w:p>
    <w:p w14:paraId="48FE9502" w14:textId="77777777" w:rsidR="00CB28F9" w:rsidRDefault="00645560" w:rsidP="00645560">
      <w:pPr>
        <w:spacing w:after="120" w:line="276" w:lineRule="auto"/>
        <w:rPr>
          <w:rFonts w:ascii="Garamond" w:eastAsia="Times New Roman" w:hAnsi="Garamond" w:cs="Calibri"/>
          <w:sz w:val="24"/>
          <w:szCs w:val="24"/>
          <w:lang w:eastAsia="sv-SE"/>
        </w:rPr>
      </w:pPr>
      <w:r w:rsidRPr="00E75BB5">
        <w:rPr>
          <w:rFonts w:ascii="Garamond" w:eastAsia="Times New Roman" w:hAnsi="Garamond" w:cs="Calibri"/>
          <w:sz w:val="24"/>
          <w:szCs w:val="24"/>
          <w:lang w:eastAsia="sv-SE"/>
        </w:rPr>
        <w:t>Ån Tidan</w:t>
      </w:r>
      <w:r>
        <w:rPr>
          <w:rFonts w:ascii="Garamond" w:eastAsia="Times New Roman" w:hAnsi="Garamond" w:cs="Calibri"/>
          <w:sz w:val="24"/>
          <w:szCs w:val="24"/>
          <w:lang w:eastAsia="sv-SE"/>
        </w:rPr>
        <w:t xml:space="preserve"> har sina källflöden</w:t>
      </w:r>
      <w:r w:rsidRPr="00E75BB5">
        <w:rPr>
          <w:rFonts w:ascii="Garamond" w:eastAsia="Times New Roman" w:hAnsi="Garamond" w:cs="Calibri"/>
          <w:sz w:val="24"/>
          <w:szCs w:val="24"/>
          <w:lang w:eastAsia="sv-SE"/>
        </w:rPr>
        <w:t xml:space="preserve"> i Ulricehamns kommun och vattendragets huvudfåra leder c:a 180 km innan den </w:t>
      </w:r>
      <w:r>
        <w:rPr>
          <w:rFonts w:ascii="Garamond" w:eastAsia="Times New Roman" w:hAnsi="Garamond" w:cs="Calibri"/>
          <w:sz w:val="24"/>
          <w:szCs w:val="24"/>
          <w:lang w:eastAsia="sv-SE"/>
        </w:rPr>
        <w:t>mynnar</w:t>
      </w:r>
      <w:r w:rsidRPr="00E75BB5">
        <w:rPr>
          <w:rFonts w:ascii="Garamond" w:eastAsia="Times New Roman" w:hAnsi="Garamond" w:cs="Calibri"/>
          <w:sz w:val="24"/>
          <w:szCs w:val="24"/>
          <w:lang w:eastAsia="sv-SE"/>
        </w:rPr>
        <w:t xml:space="preserve"> ut i Vänern inne i Mariestads tätort. Fallhöjden från källa till mynning är c:a 250 m, vilket nyttjas i ett drygt 30-tal mindre kraftverk. Avrinningsområdet är c:a 2 230 km</w:t>
      </w:r>
      <w:r w:rsidRPr="00500EC4">
        <w:rPr>
          <w:rFonts w:ascii="Garamond" w:eastAsia="Times New Roman" w:hAnsi="Garamond" w:cs="Calibri"/>
          <w:sz w:val="24"/>
          <w:szCs w:val="24"/>
          <w:vertAlign w:val="superscript"/>
          <w:lang w:eastAsia="sv-SE"/>
        </w:rPr>
        <w:t>2</w:t>
      </w:r>
      <w:r w:rsidRPr="00E75BB5">
        <w:rPr>
          <w:rFonts w:ascii="Garamond" w:eastAsia="Times New Roman" w:hAnsi="Garamond" w:cs="Calibri"/>
          <w:sz w:val="24"/>
          <w:szCs w:val="24"/>
          <w:lang w:eastAsia="sv-SE"/>
        </w:rPr>
        <w:t xml:space="preserve">, </w:t>
      </w:r>
      <w:r>
        <w:rPr>
          <w:rFonts w:ascii="Garamond" w:eastAsia="Times New Roman" w:hAnsi="Garamond" w:cs="Calibri"/>
          <w:sz w:val="24"/>
          <w:szCs w:val="24"/>
          <w:lang w:eastAsia="sv-SE"/>
        </w:rPr>
        <w:t xml:space="preserve">och </w:t>
      </w:r>
      <w:r w:rsidRPr="00E75BB5">
        <w:rPr>
          <w:rFonts w:ascii="Garamond" w:eastAsia="Times New Roman" w:hAnsi="Garamond" w:cs="Calibri"/>
          <w:sz w:val="24"/>
          <w:szCs w:val="24"/>
          <w:lang w:eastAsia="sv-SE"/>
        </w:rPr>
        <w:t>sjöytan utgör 45 km</w:t>
      </w:r>
      <w:r w:rsidRPr="00500EC4">
        <w:rPr>
          <w:rFonts w:ascii="Garamond" w:eastAsia="Times New Roman" w:hAnsi="Garamond" w:cs="Calibri"/>
          <w:sz w:val="24"/>
          <w:szCs w:val="24"/>
          <w:vertAlign w:val="superscript"/>
          <w:lang w:eastAsia="sv-SE"/>
        </w:rPr>
        <w:t>2</w:t>
      </w:r>
      <w:r w:rsidRPr="00E75BB5">
        <w:rPr>
          <w:rFonts w:ascii="Garamond" w:eastAsia="Times New Roman" w:hAnsi="Garamond" w:cs="Calibri"/>
          <w:sz w:val="24"/>
          <w:szCs w:val="24"/>
          <w:lang w:eastAsia="sv-SE"/>
        </w:rPr>
        <w:t xml:space="preserve">. </w:t>
      </w:r>
      <w:r>
        <w:rPr>
          <w:rFonts w:ascii="Garamond" w:eastAsia="Times New Roman" w:hAnsi="Garamond" w:cs="Calibri"/>
          <w:sz w:val="24"/>
          <w:szCs w:val="24"/>
          <w:lang w:eastAsia="sv-SE"/>
        </w:rPr>
        <w:t>Några av de större sjöarna i systemet är Stråken, Östen och Ymsen.</w:t>
      </w:r>
    </w:p>
    <w:p w14:paraId="69A738CE" w14:textId="77777777" w:rsidR="00CB28F9" w:rsidRDefault="00CB28F9" w:rsidP="00CB28F9">
      <w:pPr>
        <w:spacing w:after="120"/>
        <w:rPr>
          <w:rFonts w:ascii="Garamond" w:hAnsi="Garamond"/>
          <w:sz w:val="24"/>
          <w:szCs w:val="24"/>
        </w:rPr>
      </w:pPr>
      <w:r>
        <w:t>T</w:t>
      </w:r>
      <w:r w:rsidRPr="001636A0">
        <w:rPr>
          <w:rFonts w:ascii="Garamond" w:hAnsi="Garamond"/>
          <w:sz w:val="24"/>
          <w:szCs w:val="24"/>
        </w:rPr>
        <w:t xml:space="preserve">idans mynningsområde i Vänern är viktigt för många av Vänerns fiskarter. Det bedöms att minst ett tjugotal arter finns i området mer eller mindre regelbundet. </w:t>
      </w:r>
      <w:r>
        <w:rPr>
          <w:rFonts w:ascii="Garamond" w:hAnsi="Garamond"/>
          <w:sz w:val="24"/>
          <w:szCs w:val="24"/>
        </w:rPr>
        <w:t>Av dessa arter finns flera naturvårdsintressanta arter, såsom öring, asp,  vimma,  nissöga m.fl. Området har även en viktig ekologisk funktion som lek- och uppväxtområde för flera andra fiskarter i Vänerns såsom gör och nors. Gösen har ett kommersiellt intresse för yrkesfisket, Gös, öring, asp m.fl. arter är intressanta för sportfisket. Det finns en tradition av vårfiske efter nors från en av broarna över Tidan mitt i Mariestads tätort.</w:t>
      </w:r>
    </w:p>
    <w:p w14:paraId="4F3B27D4" w14:textId="77777777" w:rsidR="00717EF0" w:rsidRDefault="00717EF0" w:rsidP="00645560">
      <w:pPr>
        <w:spacing w:after="120" w:line="276" w:lineRule="auto"/>
        <w:rPr>
          <w:rFonts w:ascii="Garamond" w:eastAsia="Times New Roman" w:hAnsi="Garamond" w:cs="Calibri"/>
          <w:sz w:val="24"/>
          <w:szCs w:val="24"/>
          <w:lang w:eastAsia="sv-SE"/>
        </w:rPr>
      </w:pPr>
      <w:r>
        <w:rPr>
          <w:rFonts w:ascii="Garamond" w:eastAsia="Times New Roman" w:hAnsi="Garamond" w:cs="Calibri"/>
          <w:sz w:val="24"/>
          <w:szCs w:val="24"/>
          <w:lang w:eastAsia="sv-SE"/>
        </w:rPr>
        <w:t xml:space="preserve">Huvudsakliga målarter i projektet har varit asp, sjövandrande öring och vimma. Detta är arter beroende av vandring i Tidans vattensystem och arter som är rödlistade eller i övrigt känsliga. Sekundärt gynnas svämlövskog nedströms Stadskvarnen genom bättre vattentillgång vid lågvattenföring, naturlig materialtransport i denna del av Tidans mynningsområde samt andra arter knutna till strömmande vatten. </w:t>
      </w:r>
    </w:p>
    <w:p w14:paraId="2B73C68F" w14:textId="77777777" w:rsidR="00645560" w:rsidRPr="00CB28F9" w:rsidRDefault="00717EF0" w:rsidP="00645560">
      <w:pPr>
        <w:rPr>
          <w:rFonts w:ascii="Garamond" w:hAnsi="Garamond"/>
          <w:sz w:val="24"/>
          <w:szCs w:val="24"/>
        </w:rPr>
      </w:pPr>
      <w:r>
        <w:rPr>
          <w:rFonts w:ascii="Garamond" w:hAnsi="Garamond"/>
          <w:sz w:val="24"/>
          <w:szCs w:val="24"/>
        </w:rPr>
        <w:t xml:space="preserve">Tillstånd för arbetena erhölls från Mark- och miljödomstolen i Vänersborg i juli 2018. </w:t>
      </w:r>
      <w:r w:rsidR="002028DD">
        <w:rPr>
          <w:rFonts w:ascii="Garamond" w:hAnsi="Garamond"/>
          <w:sz w:val="24"/>
          <w:szCs w:val="24"/>
        </w:rPr>
        <w:t>VänerEnergi och Mariestads kommun har sökt finansiering via LOVA och SNF:s Bra Miljövalfond. Finansiering fanns klar under våren 2020.</w:t>
      </w:r>
    </w:p>
    <w:p w14:paraId="13952DEC" w14:textId="77777777" w:rsidR="00FA65E0" w:rsidRDefault="00FA65E0" w:rsidP="00C63393">
      <w:pPr>
        <w:pStyle w:val="Rubrik2"/>
      </w:pPr>
      <w:bookmarkStart w:id="2" w:name="_Toc88832488"/>
      <w:r>
        <w:t>Utförda åtgärder</w:t>
      </w:r>
      <w:bookmarkEnd w:id="2"/>
    </w:p>
    <w:p w14:paraId="5D0F85A2" w14:textId="77777777" w:rsidR="00FA65E0" w:rsidRPr="00482C3D" w:rsidRDefault="00FA65E0" w:rsidP="00482C3D">
      <w:pPr>
        <w:pStyle w:val="Rubrik3"/>
      </w:pPr>
      <w:bookmarkStart w:id="3" w:name="_Toc88832489"/>
      <w:r w:rsidRPr="00482C3D">
        <w:t>Fysiska åtgärder</w:t>
      </w:r>
      <w:bookmarkEnd w:id="3"/>
    </w:p>
    <w:p w14:paraId="37867BF5" w14:textId="77777777" w:rsidR="00C63393" w:rsidRPr="00146E28" w:rsidRDefault="00C63393" w:rsidP="00C5798B">
      <w:pPr>
        <w:pStyle w:val="Brdtext"/>
        <w:spacing w:after="240"/>
        <w:rPr>
          <w:rFonts w:ascii="Garamond" w:hAnsi="Garamond"/>
          <w:sz w:val="24"/>
          <w:szCs w:val="24"/>
        </w:rPr>
      </w:pPr>
      <w:r w:rsidRPr="00C5798B">
        <w:rPr>
          <w:rFonts w:ascii="Garamond" w:hAnsi="Garamond"/>
          <w:sz w:val="24"/>
          <w:szCs w:val="24"/>
        </w:rPr>
        <w:t xml:space="preserve">Arbetena utfördes i augusti 2020 av Mark och Bygg Gullspångs Grävmaskiner AB, med underentreprenörer. </w:t>
      </w:r>
      <w:r w:rsidR="00146E28" w:rsidRPr="00C5798B">
        <w:rPr>
          <w:rFonts w:ascii="Garamond" w:hAnsi="Garamond"/>
          <w:sz w:val="24"/>
          <w:szCs w:val="24"/>
        </w:rPr>
        <w:t xml:space="preserve">Befintliga flodluckor med fästanordningar togs bort och skrotades. På vattendragets vänstra sida togs en c:a 5 m bred sektion av befintligt skibord bort för. I inloppskanalen till kraftverksbyggnaden genomfördes åtgärder för att upprätthålla en vattennivå även vid låga vattenflöden. </w:t>
      </w:r>
      <w:r w:rsidRPr="00C5798B">
        <w:rPr>
          <w:rFonts w:ascii="Garamond" w:hAnsi="Garamond"/>
          <w:sz w:val="24"/>
          <w:szCs w:val="24"/>
        </w:rPr>
        <w:t xml:space="preserve">En slutbesiktning av arbetena utfördes tillsammans med företrädare för Länsstyrelsens Västra Götaland den 9 september 2020. </w:t>
      </w:r>
    </w:p>
    <w:p w14:paraId="3D4E3341" w14:textId="77777777" w:rsidR="00C63393" w:rsidRPr="00146E28" w:rsidRDefault="00C63393" w:rsidP="00C63393">
      <w:pPr>
        <w:pStyle w:val="Brdtext"/>
        <w:numPr>
          <w:ilvl w:val="0"/>
          <w:numId w:val="1"/>
        </w:numPr>
        <w:spacing w:after="0"/>
        <w:rPr>
          <w:rFonts w:ascii="Garamond" w:hAnsi="Garamond"/>
          <w:sz w:val="24"/>
          <w:szCs w:val="24"/>
        </w:rPr>
      </w:pPr>
      <w:r w:rsidRPr="00146E28">
        <w:rPr>
          <w:rFonts w:ascii="Garamond" w:hAnsi="Garamond"/>
          <w:sz w:val="24"/>
          <w:szCs w:val="24"/>
        </w:rPr>
        <w:t>Befintliga dammluckor med tillhörande stålkonstruktioner har monterats ned och skrotats.</w:t>
      </w:r>
    </w:p>
    <w:p w14:paraId="7C1128DD" w14:textId="77777777" w:rsidR="00C63393" w:rsidRPr="00146E28" w:rsidRDefault="00146E28" w:rsidP="00C63393">
      <w:pPr>
        <w:pStyle w:val="Brdtext"/>
        <w:numPr>
          <w:ilvl w:val="0"/>
          <w:numId w:val="1"/>
        </w:numPr>
        <w:spacing w:after="0"/>
        <w:rPr>
          <w:rFonts w:ascii="Garamond" w:hAnsi="Garamond"/>
          <w:sz w:val="24"/>
          <w:szCs w:val="24"/>
        </w:rPr>
      </w:pPr>
      <w:r w:rsidRPr="00146E28">
        <w:rPr>
          <w:rFonts w:ascii="Garamond" w:hAnsi="Garamond"/>
          <w:sz w:val="24"/>
          <w:szCs w:val="24"/>
        </w:rPr>
        <w:t>En b</w:t>
      </w:r>
      <w:r w:rsidR="00C63393" w:rsidRPr="00146E28">
        <w:rPr>
          <w:rFonts w:ascii="Garamond" w:hAnsi="Garamond"/>
          <w:sz w:val="24"/>
          <w:szCs w:val="24"/>
        </w:rPr>
        <w:t xml:space="preserve">etongtröskel under en av </w:t>
      </w:r>
      <w:r w:rsidRPr="00146E28">
        <w:rPr>
          <w:rFonts w:ascii="Garamond" w:hAnsi="Garamond"/>
          <w:sz w:val="24"/>
          <w:szCs w:val="24"/>
        </w:rPr>
        <w:t xml:space="preserve">de tre </w:t>
      </w:r>
      <w:r w:rsidR="00C63393" w:rsidRPr="00146E28">
        <w:rPr>
          <w:rFonts w:ascii="Garamond" w:hAnsi="Garamond"/>
          <w:sz w:val="24"/>
          <w:szCs w:val="24"/>
        </w:rPr>
        <w:t>lucksektioner</w:t>
      </w:r>
      <w:r w:rsidRPr="00146E28">
        <w:rPr>
          <w:rFonts w:ascii="Garamond" w:hAnsi="Garamond"/>
          <w:sz w:val="24"/>
          <w:szCs w:val="24"/>
        </w:rPr>
        <w:t>na</w:t>
      </w:r>
      <w:r w:rsidR="00C63393" w:rsidRPr="00146E28">
        <w:rPr>
          <w:rFonts w:ascii="Garamond" w:hAnsi="Garamond"/>
          <w:sz w:val="24"/>
          <w:szCs w:val="24"/>
        </w:rPr>
        <w:t xml:space="preserve"> har bilats bort, ned till fast berg</w:t>
      </w:r>
      <w:r w:rsidRPr="00146E28">
        <w:rPr>
          <w:rFonts w:ascii="Garamond" w:hAnsi="Garamond"/>
          <w:sz w:val="24"/>
          <w:szCs w:val="24"/>
        </w:rPr>
        <w:t xml:space="preserve">. </w:t>
      </w:r>
      <w:r w:rsidR="00C63393" w:rsidRPr="00146E28">
        <w:rPr>
          <w:rFonts w:ascii="Garamond" w:hAnsi="Garamond"/>
          <w:sz w:val="24"/>
          <w:szCs w:val="24"/>
        </w:rPr>
        <w:t xml:space="preserve"> </w:t>
      </w:r>
      <w:r w:rsidRPr="00146E28">
        <w:rPr>
          <w:rFonts w:ascii="Garamond" w:hAnsi="Garamond"/>
          <w:sz w:val="24"/>
          <w:szCs w:val="24"/>
        </w:rPr>
        <w:t xml:space="preserve"> Detta underlättar fiskens passage vid låga vattenflöden.</w:t>
      </w:r>
    </w:p>
    <w:p w14:paraId="3959A7D6" w14:textId="77777777" w:rsidR="00C63393" w:rsidRPr="00146E28" w:rsidRDefault="00C63393" w:rsidP="00C63393">
      <w:pPr>
        <w:pStyle w:val="Brdtext"/>
        <w:numPr>
          <w:ilvl w:val="0"/>
          <w:numId w:val="1"/>
        </w:numPr>
        <w:spacing w:after="0"/>
        <w:rPr>
          <w:rFonts w:ascii="Garamond" w:hAnsi="Garamond"/>
          <w:sz w:val="24"/>
          <w:szCs w:val="24"/>
        </w:rPr>
      </w:pPr>
      <w:r w:rsidRPr="00146E28">
        <w:rPr>
          <w:rFonts w:ascii="Garamond" w:hAnsi="Garamond"/>
          <w:sz w:val="24"/>
          <w:szCs w:val="24"/>
        </w:rPr>
        <w:t>En öppning på 5 m bredd har tagits upp i skibord på vattendragets vänstra sida</w:t>
      </w:r>
      <w:r w:rsidR="00146E28" w:rsidRPr="00146E28">
        <w:rPr>
          <w:rFonts w:ascii="Garamond" w:hAnsi="Garamond"/>
          <w:sz w:val="24"/>
          <w:szCs w:val="24"/>
        </w:rPr>
        <w:t xml:space="preserve"> för att sprida ut vattenföringen bättre </w:t>
      </w:r>
      <w:r w:rsidR="00C5798B">
        <w:rPr>
          <w:rFonts w:ascii="Garamond" w:hAnsi="Garamond"/>
          <w:sz w:val="24"/>
          <w:szCs w:val="24"/>
        </w:rPr>
        <w:t xml:space="preserve">vid lågvattenföring </w:t>
      </w:r>
      <w:r w:rsidR="00146E28" w:rsidRPr="00146E28">
        <w:rPr>
          <w:rFonts w:ascii="Garamond" w:hAnsi="Garamond"/>
          <w:sz w:val="24"/>
          <w:szCs w:val="24"/>
        </w:rPr>
        <w:t>och gynna den i området dominerande svämlövskogen</w:t>
      </w:r>
      <w:r w:rsidRPr="00146E28">
        <w:rPr>
          <w:rFonts w:ascii="Garamond" w:hAnsi="Garamond"/>
          <w:sz w:val="24"/>
          <w:szCs w:val="24"/>
        </w:rPr>
        <w:t>.</w:t>
      </w:r>
      <w:r w:rsidR="00C5798B">
        <w:rPr>
          <w:rFonts w:ascii="Garamond" w:hAnsi="Garamond"/>
          <w:sz w:val="24"/>
          <w:szCs w:val="24"/>
        </w:rPr>
        <w:t xml:space="preserve"> </w:t>
      </w:r>
    </w:p>
    <w:p w14:paraId="3F8898D4" w14:textId="77777777" w:rsidR="00C63393" w:rsidRPr="00146E28" w:rsidRDefault="00C63393" w:rsidP="00C63393">
      <w:pPr>
        <w:pStyle w:val="Brdtext"/>
        <w:numPr>
          <w:ilvl w:val="0"/>
          <w:numId w:val="1"/>
        </w:numPr>
        <w:spacing w:after="0"/>
        <w:rPr>
          <w:rFonts w:ascii="Garamond" w:hAnsi="Garamond"/>
          <w:sz w:val="24"/>
          <w:szCs w:val="24"/>
        </w:rPr>
      </w:pPr>
      <w:r w:rsidRPr="00146E28">
        <w:rPr>
          <w:rFonts w:ascii="Garamond" w:hAnsi="Garamond"/>
          <w:sz w:val="24"/>
          <w:szCs w:val="24"/>
        </w:rPr>
        <w:lastRenderedPageBreak/>
        <w:t xml:space="preserve">En öppen fåra </w:t>
      </w:r>
      <w:r w:rsidR="00C5798B">
        <w:rPr>
          <w:rFonts w:ascii="Garamond" w:hAnsi="Garamond"/>
          <w:sz w:val="24"/>
          <w:szCs w:val="24"/>
        </w:rPr>
        <w:t xml:space="preserve">skapades </w:t>
      </w:r>
      <w:r w:rsidRPr="00146E28">
        <w:rPr>
          <w:rFonts w:ascii="Garamond" w:hAnsi="Garamond"/>
          <w:sz w:val="24"/>
          <w:szCs w:val="24"/>
        </w:rPr>
        <w:t xml:space="preserve">genom </w:t>
      </w:r>
      <w:r w:rsidR="00C5798B">
        <w:rPr>
          <w:rFonts w:ascii="Garamond" w:hAnsi="Garamond"/>
          <w:sz w:val="24"/>
          <w:szCs w:val="24"/>
        </w:rPr>
        <w:t xml:space="preserve">ett </w:t>
      </w:r>
      <w:r w:rsidRPr="00146E28">
        <w:rPr>
          <w:rFonts w:ascii="Garamond" w:hAnsi="Garamond"/>
          <w:sz w:val="24"/>
          <w:szCs w:val="24"/>
        </w:rPr>
        <w:t>befintligt vassbälte på vattendragets vänstra sida.</w:t>
      </w:r>
      <w:r w:rsidR="00C5798B">
        <w:rPr>
          <w:rFonts w:ascii="Garamond" w:hAnsi="Garamond"/>
          <w:sz w:val="24"/>
          <w:szCs w:val="24"/>
        </w:rPr>
        <w:t xml:space="preserve"> Denna förbättrar vattenflödet till öppningen i skibord. Kanalen skulle även kunna få värde som lekområde.</w:t>
      </w:r>
    </w:p>
    <w:p w14:paraId="765BDFEB" w14:textId="77777777" w:rsidR="00C63393" w:rsidRPr="00146E28" w:rsidRDefault="00C63393" w:rsidP="00C63393">
      <w:pPr>
        <w:pStyle w:val="Brdtext"/>
        <w:numPr>
          <w:ilvl w:val="0"/>
          <w:numId w:val="1"/>
        </w:numPr>
        <w:spacing w:after="0"/>
        <w:rPr>
          <w:rFonts w:ascii="Garamond" w:hAnsi="Garamond"/>
          <w:sz w:val="24"/>
          <w:szCs w:val="24"/>
        </w:rPr>
      </w:pPr>
      <w:r w:rsidRPr="00146E28">
        <w:rPr>
          <w:rFonts w:ascii="Garamond" w:hAnsi="Garamond"/>
          <w:sz w:val="24"/>
          <w:szCs w:val="24"/>
        </w:rPr>
        <w:t>En tröskel har gjutits i den f.d. inlopps</w:t>
      </w:r>
      <w:r w:rsidR="00C5798B">
        <w:rPr>
          <w:rFonts w:ascii="Garamond" w:hAnsi="Garamond"/>
          <w:sz w:val="24"/>
          <w:szCs w:val="24"/>
        </w:rPr>
        <w:t xml:space="preserve">kanalen till kraftverket i syfte att upprätthålla vattennivån i kanalen vid låga vattenflöden. </w:t>
      </w:r>
    </w:p>
    <w:p w14:paraId="3DAA3195" w14:textId="77777777" w:rsidR="00C63393" w:rsidRPr="00146E28" w:rsidRDefault="00C63393" w:rsidP="00C63393">
      <w:pPr>
        <w:pStyle w:val="Brdtext"/>
        <w:numPr>
          <w:ilvl w:val="0"/>
          <w:numId w:val="1"/>
        </w:numPr>
        <w:spacing w:after="0"/>
        <w:rPr>
          <w:rFonts w:ascii="Garamond" w:hAnsi="Garamond"/>
          <w:sz w:val="24"/>
          <w:szCs w:val="24"/>
        </w:rPr>
      </w:pPr>
      <w:r w:rsidRPr="00146E28">
        <w:rPr>
          <w:rFonts w:ascii="Garamond" w:hAnsi="Garamond"/>
          <w:sz w:val="24"/>
          <w:szCs w:val="24"/>
        </w:rPr>
        <w:t>Luckor i den f.d. inloppskanalens sidoutlopp har tagits bort och ersatts med träsättar</w:t>
      </w:r>
      <w:r w:rsidR="00436C38">
        <w:rPr>
          <w:rFonts w:ascii="Garamond" w:hAnsi="Garamond"/>
          <w:sz w:val="24"/>
          <w:szCs w:val="24"/>
        </w:rPr>
        <w:t xml:space="preserve"> för att upprätthålla en vattennivå</w:t>
      </w:r>
      <w:r w:rsidRPr="00146E28">
        <w:rPr>
          <w:rFonts w:ascii="Garamond" w:hAnsi="Garamond"/>
          <w:sz w:val="24"/>
          <w:szCs w:val="24"/>
        </w:rPr>
        <w:t>.</w:t>
      </w:r>
    </w:p>
    <w:p w14:paraId="453CFAAB" w14:textId="77777777" w:rsidR="00C63393" w:rsidRPr="00146E28" w:rsidRDefault="00C5798B" w:rsidP="00C63393">
      <w:pPr>
        <w:pStyle w:val="Brdtext"/>
        <w:numPr>
          <w:ilvl w:val="0"/>
          <w:numId w:val="1"/>
        </w:numPr>
        <w:spacing w:after="0"/>
        <w:rPr>
          <w:rFonts w:ascii="Garamond" w:hAnsi="Garamond"/>
          <w:sz w:val="24"/>
          <w:szCs w:val="24"/>
        </w:rPr>
      </w:pPr>
      <w:r>
        <w:rPr>
          <w:rFonts w:ascii="Garamond" w:hAnsi="Garamond"/>
          <w:sz w:val="24"/>
          <w:szCs w:val="24"/>
        </w:rPr>
        <w:t>En t</w:t>
      </w:r>
      <w:r w:rsidR="00C63393" w:rsidRPr="00146E28">
        <w:rPr>
          <w:rFonts w:ascii="Garamond" w:hAnsi="Garamond"/>
          <w:sz w:val="24"/>
          <w:szCs w:val="24"/>
        </w:rPr>
        <w:t>illfällig transportväg utmed skibord och tillfällig fördämning i inloppskanal</w:t>
      </w:r>
      <w:r>
        <w:rPr>
          <w:rFonts w:ascii="Garamond" w:hAnsi="Garamond"/>
          <w:sz w:val="24"/>
          <w:szCs w:val="24"/>
        </w:rPr>
        <w:t>en</w:t>
      </w:r>
      <w:r w:rsidR="00C63393" w:rsidRPr="00146E28">
        <w:rPr>
          <w:rFonts w:ascii="Garamond" w:hAnsi="Garamond"/>
          <w:sz w:val="24"/>
          <w:szCs w:val="24"/>
        </w:rPr>
        <w:t xml:space="preserve"> </w:t>
      </w:r>
      <w:r>
        <w:rPr>
          <w:rFonts w:ascii="Garamond" w:hAnsi="Garamond"/>
          <w:sz w:val="24"/>
          <w:szCs w:val="24"/>
        </w:rPr>
        <w:t xml:space="preserve">anlades under arbetstiden och har sedan </w:t>
      </w:r>
      <w:r w:rsidR="00C63393" w:rsidRPr="00146E28">
        <w:rPr>
          <w:rFonts w:ascii="Garamond" w:hAnsi="Garamond"/>
          <w:sz w:val="24"/>
          <w:szCs w:val="24"/>
        </w:rPr>
        <w:t>avlägsnats efter arbetenas färdigställande.</w:t>
      </w:r>
    </w:p>
    <w:p w14:paraId="4F694E48" w14:textId="77777777" w:rsidR="00C63393" w:rsidRPr="00146E28" w:rsidRDefault="00C63393" w:rsidP="00C63393">
      <w:pPr>
        <w:pStyle w:val="Brdtext"/>
        <w:numPr>
          <w:ilvl w:val="0"/>
          <w:numId w:val="1"/>
        </w:numPr>
        <w:spacing w:after="0"/>
        <w:rPr>
          <w:rFonts w:ascii="Garamond" w:hAnsi="Garamond"/>
          <w:sz w:val="24"/>
          <w:szCs w:val="24"/>
        </w:rPr>
      </w:pPr>
      <w:r w:rsidRPr="00146E28">
        <w:rPr>
          <w:rFonts w:ascii="Garamond" w:hAnsi="Garamond"/>
          <w:sz w:val="24"/>
          <w:szCs w:val="24"/>
        </w:rPr>
        <w:t>Dokumentation genom drönarfotografering</w:t>
      </w:r>
      <w:r w:rsidR="00C5798B">
        <w:rPr>
          <w:rFonts w:ascii="Garamond" w:hAnsi="Garamond"/>
          <w:sz w:val="24"/>
          <w:szCs w:val="24"/>
        </w:rPr>
        <w:t xml:space="preserve"> genomfördes hösten 2020</w:t>
      </w:r>
      <w:r w:rsidRPr="00146E28">
        <w:rPr>
          <w:rFonts w:ascii="Garamond" w:hAnsi="Garamond"/>
          <w:sz w:val="24"/>
          <w:szCs w:val="24"/>
        </w:rPr>
        <w:t>.</w:t>
      </w:r>
    </w:p>
    <w:p w14:paraId="15ED0A08" w14:textId="77777777" w:rsidR="00C63393" w:rsidRPr="00146E28" w:rsidRDefault="00C63393" w:rsidP="00C63393">
      <w:pPr>
        <w:pStyle w:val="Brdtext"/>
        <w:numPr>
          <w:ilvl w:val="0"/>
          <w:numId w:val="1"/>
        </w:numPr>
        <w:spacing w:after="0"/>
        <w:rPr>
          <w:rFonts w:ascii="Garamond" w:hAnsi="Garamond"/>
          <w:sz w:val="24"/>
          <w:szCs w:val="24"/>
        </w:rPr>
      </w:pPr>
      <w:r w:rsidRPr="00146E28">
        <w:rPr>
          <w:rFonts w:ascii="Garamond" w:hAnsi="Garamond"/>
          <w:sz w:val="24"/>
          <w:szCs w:val="24"/>
        </w:rPr>
        <w:t>Slutbesiktning av entreprenadarbeten</w:t>
      </w:r>
      <w:r w:rsidR="00C5798B">
        <w:rPr>
          <w:rFonts w:ascii="Garamond" w:hAnsi="Garamond"/>
          <w:sz w:val="24"/>
          <w:szCs w:val="24"/>
        </w:rPr>
        <w:t xml:space="preserve"> genomfördes den 9 september 2020</w:t>
      </w:r>
      <w:r w:rsidRPr="00146E28">
        <w:rPr>
          <w:rFonts w:ascii="Garamond" w:hAnsi="Garamond"/>
          <w:sz w:val="24"/>
          <w:szCs w:val="24"/>
        </w:rPr>
        <w:t>.</w:t>
      </w:r>
    </w:p>
    <w:p w14:paraId="41A6A1A2" w14:textId="77777777" w:rsidR="00C63393" w:rsidRPr="00146E28" w:rsidRDefault="00C63393" w:rsidP="00C63393">
      <w:pPr>
        <w:pStyle w:val="Brdtext"/>
        <w:numPr>
          <w:ilvl w:val="0"/>
          <w:numId w:val="1"/>
        </w:numPr>
        <w:spacing w:after="0"/>
        <w:rPr>
          <w:rFonts w:ascii="Garamond" w:hAnsi="Garamond"/>
          <w:sz w:val="24"/>
          <w:szCs w:val="24"/>
        </w:rPr>
      </w:pPr>
      <w:r w:rsidRPr="00146E28">
        <w:rPr>
          <w:rFonts w:ascii="Garamond" w:hAnsi="Garamond"/>
          <w:sz w:val="24"/>
          <w:szCs w:val="24"/>
        </w:rPr>
        <w:t>En relationsritning har tagits fram för dammens nya utseende.</w:t>
      </w:r>
    </w:p>
    <w:p w14:paraId="30939DB1" w14:textId="77777777" w:rsidR="00C63393" w:rsidRPr="00146E28" w:rsidRDefault="00C63393" w:rsidP="00C63393">
      <w:pPr>
        <w:pStyle w:val="Brdtext"/>
        <w:spacing w:after="0"/>
        <w:rPr>
          <w:rFonts w:ascii="Garamond" w:hAnsi="Garamond"/>
          <w:sz w:val="24"/>
          <w:szCs w:val="24"/>
        </w:rPr>
      </w:pPr>
    </w:p>
    <w:p w14:paraId="2A1560F9" w14:textId="77777777" w:rsidR="00FA65E0" w:rsidRDefault="00C5798B" w:rsidP="00482C3D">
      <w:pPr>
        <w:pStyle w:val="Rubrik3"/>
      </w:pPr>
      <w:bookmarkStart w:id="4" w:name="_Toc88832490"/>
      <w:r>
        <w:t>U</w:t>
      </w:r>
      <w:r w:rsidR="00FA65E0">
        <w:t>ndersökningar</w:t>
      </w:r>
      <w:bookmarkEnd w:id="4"/>
    </w:p>
    <w:p w14:paraId="113609DA" w14:textId="77777777" w:rsidR="00C5798B" w:rsidRPr="00482C3D" w:rsidRDefault="00C5798B" w:rsidP="00436C38">
      <w:pPr>
        <w:spacing w:after="120"/>
        <w:rPr>
          <w:rFonts w:ascii="Garamond" w:hAnsi="Garamond"/>
          <w:sz w:val="24"/>
          <w:szCs w:val="24"/>
        </w:rPr>
      </w:pPr>
      <w:r w:rsidRPr="00482C3D">
        <w:rPr>
          <w:rFonts w:ascii="Garamond" w:hAnsi="Garamond"/>
          <w:sz w:val="24"/>
          <w:szCs w:val="24"/>
        </w:rPr>
        <w:t xml:space="preserve">Undersökningar skedde inför arbetena, sedimentprovtagning, samt som uppföljning efteråt i syfte att </w:t>
      </w:r>
      <w:r w:rsidR="006E6F60" w:rsidRPr="00482C3D">
        <w:rPr>
          <w:rFonts w:ascii="Garamond" w:hAnsi="Garamond"/>
          <w:sz w:val="24"/>
          <w:szCs w:val="24"/>
        </w:rPr>
        <w:t>kontrollera om asp kan ta sig upp oc</w:t>
      </w:r>
      <w:r w:rsidR="00482C3D">
        <w:rPr>
          <w:rFonts w:ascii="Garamond" w:hAnsi="Garamond"/>
          <w:sz w:val="24"/>
          <w:szCs w:val="24"/>
        </w:rPr>
        <w:t>h leka. Undersökning m.h.a. e-DNA visar även på fiskfaunan i stort under den aktuella perioden.</w:t>
      </w:r>
    </w:p>
    <w:p w14:paraId="6124980E" w14:textId="77777777" w:rsidR="00C5798B" w:rsidRDefault="00C5798B" w:rsidP="00C5798B">
      <w:pPr>
        <w:pStyle w:val="Brdtext"/>
        <w:numPr>
          <w:ilvl w:val="0"/>
          <w:numId w:val="1"/>
        </w:numPr>
        <w:spacing w:after="0"/>
        <w:rPr>
          <w:rFonts w:ascii="Garamond" w:hAnsi="Garamond"/>
          <w:sz w:val="24"/>
          <w:szCs w:val="24"/>
        </w:rPr>
      </w:pPr>
      <w:r w:rsidRPr="00146E28">
        <w:rPr>
          <w:rFonts w:ascii="Garamond" w:hAnsi="Garamond"/>
          <w:sz w:val="24"/>
          <w:szCs w:val="24"/>
        </w:rPr>
        <w:t xml:space="preserve">Sedimentprovtagning </w:t>
      </w:r>
      <w:r>
        <w:rPr>
          <w:rFonts w:ascii="Garamond" w:hAnsi="Garamond"/>
          <w:sz w:val="24"/>
          <w:szCs w:val="24"/>
        </w:rPr>
        <w:t xml:space="preserve">utfördes </w:t>
      </w:r>
      <w:r w:rsidRPr="00146E28">
        <w:rPr>
          <w:rFonts w:ascii="Garamond" w:hAnsi="Garamond"/>
          <w:sz w:val="24"/>
          <w:szCs w:val="24"/>
        </w:rPr>
        <w:t>inför en eventuell bortförsel av massor. Resultaten visade inte på några allvarliga föroreningar.</w:t>
      </w:r>
      <w:r>
        <w:rPr>
          <w:rFonts w:ascii="Garamond" w:hAnsi="Garamond"/>
          <w:sz w:val="24"/>
          <w:szCs w:val="24"/>
        </w:rPr>
        <w:t xml:space="preserve"> Ingen bortförsel av sediment behövdes göras</w:t>
      </w:r>
      <w:r w:rsidR="00CB28F9">
        <w:rPr>
          <w:rFonts w:ascii="Garamond" w:hAnsi="Garamond"/>
          <w:sz w:val="24"/>
          <w:szCs w:val="24"/>
        </w:rPr>
        <w:t xml:space="preserve"> eftersom mängderna sediment som berördes av arbeten var ringa</w:t>
      </w:r>
      <w:r>
        <w:rPr>
          <w:rFonts w:ascii="Garamond" w:hAnsi="Garamond"/>
          <w:sz w:val="24"/>
          <w:szCs w:val="24"/>
        </w:rPr>
        <w:t>.</w:t>
      </w:r>
    </w:p>
    <w:p w14:paraId="53EA4333" w14:textId="77777777" w:rsidR="00C5798B" w:rsidRPr="00146E28" w:rsidRDefault="00C5798B" w:rsidP="00C5798B">
      <w:pPr>
        <w:pStyle w:val="Brdtext"/>
        <w:numPr>
          <w:ilvl w:val="0"/>
          <w:numId w:val="1"/>
        </w:numPr>
        <w:spacing w:after="0"/>
        <w:rPr>
          <w:rFonts w:ascii="Garamond" w:hAnsi="Garamond"/>
          <w:sz w:val="24"/>
          <w:szCs w:val="24"/>
        </w:rPr>
      </w:pPr>
      <w:r>
        <w:rPr>
          <w:rFonts w:ascii="Garamond" w:hAnsi="Garamond"/>
          <w:sz w:val="24"/>
          <w:szCs w:val="24"/>
        </w:rPr>
        <w:t>I uppföljningssyfte har i</w:t>
      </w:r>
      <w:r w:rsidRPr="00146E28">
        <w:rPr>
          <w:rFonts w:ascii="Garamond" w:hAnsi="Garamond"/>
          <w:sz w:val="24"/>
          <w:szCs w:val="24"/>
        </w:rPr>
        <w:t>nventering av asplek</w:t>
      </w:r>
      <w:r>
        <w:rPr>
          <w:rFonts w:ascii="Garamond" w:hAnsi="Garamond"/>
          <w:sz w:val="24"/>
          <w:szCs w:val="24"/>
        </w:rPr>
        <w:t>, medelst romfällor, skett våren 2021</w:t>
      </w:r>
      <w:r w:rsidR="00482C3D">
        <w:rPr>
          <w:rFonts w:ascii="Garamond" w:hAnsi="Garamond"/>
          <w:sz w:val="24"/>
          <w:szCs w:val="24"/>
        </w:rPr>
        <w:t>.</w:t>
      </w:r>
      <w:r>
        <w:rPr>
          <w:rFonts w:ascii="Garamond" w:hAnsi="Garamond"/>
          <w:sz w:val="24"/>
          <w:szCs w:val="24"/>
        </w:rPr>
        <w:t xml:space="preserve"> Totalt </w:t>
      </w:r>
      <w:r w:rsidRPr="00146E28">
        <w:rPr>
          <w:rFonts w:ascii="Garamond" w:hAnsi="Garamond"/>
          <w:sz w:val="24"/>
          <w:szCs w:val="24"/>
        </w:rPr>
        <w:t xml:space="preserve"> 4 provpunkter uppströms kvarnen och 1 kontrollpunkt nedströms</w:t>
      </w:r>
      <w:r>
        <w:rPr>
          <w:rFonts w:ascii="Garamond" w:hAnsi="Garamond"/>
          <w:sz w:val="24"/>
          <w:szCs w:val="24"/>
        </w:rPr>
        <w:t xml:space="preserve"> undersöktes under p</w:t>
      </w:r>
      <w:r w:rsidRPr="00146E28">
        <w:rPr>
          <w:rFonts w:ascii="Garamond" w:hAnsi="Garamond"/>
          <w:sz w:val="24"/>
          <w:szCs w:val="24"/>
        </w:rPr>
        <w:t>erioden 31 mars till 9 juni. Fällorna vittjade 4 ggr och romprov analyseras</w:t>
      </w:r>
      <w:r>
        <w:rPr>
          <w:rFonts w:ascii="Garamond" w:hAnsi="Garamond"/>
          <w:sz w:val="24"/>
          <w:szCs w:val="24"/>
        </w:rPr>
        <w:t xml:space="preserve"> av Naturhistoriska Riksmuséet. Uttagna romprover identifierades som asp.</w:t>
      </w:r>
    </w:p>
    <w:p w14:paraId="5D20EDDE" w14:textId="77777777" w:rsidR="00C5798B" w:rsidRPr="00482C3D" w:rsidRDefault="00C5798B" w:rsidP="00482C3D">
      <w:pPr>
        <w:pStyle w:val="Liststycke"/>
        <w:numPr>
          <w:ilvl w:val="0"/>
          <w:numId w:val="1"/>
        </w:numPr>
        <w:rPr>
          <w:rFonts w:ascii="Garamond" w:hAnsi="Garamond"/>
          <w:sz w:val="24"/>
          <w:szCs w:val="24"/>
        </w:rPr>
      </w:pPr>
      <w:r w:rsidRPr="00482C3D">
        <w:rPr>
          <w:rFonts w:ascii="Garamond" w:hAnsi="Garamond"/>
          <w:sz w:val="24"/>
          <w:szCs w:val="24"/>
        </w:rPr>
        <w:t>En e-DNA-undersökning 1 en punkt uppströms kvarndammen vid 4 tillfällen genomfördes under perioden 13 april till 9 juni. Analys gjordes med hjälp av Naturhistoriska Riksmuséet. Asp detekterades under perioden med en topp i slutet av april.</w:t>
      </w:r>
      <w:r w:rsidR="00717EF0">
        <w:rPr>
          <w:rFonts w:ascii="Garamond" w:hAnsi="Garamond"/>
          <w:sz w:val="24"/>
          <w:szCs w:val="24"/>
        </w:rPr>
        <w:t xml:space="preserve"> Vimma detekterades i juni.</w:t>
      </w:r>
    </w:p>
    <w:p w14:paraId="53523E88" w14:textId="77777777" w:rsidR="00FA65E0" w:rsidRDefault="00FA65E0" w:rsidP="00482C3D">
      <w:pPr>
        <w:pStyle w:val="Rubrik2"/>
      </w:pPr>
      <w:bookmarkStart w:id="5" w:name="_Toc88832491"/>
      <w:r>
        <w:t>Ekonomisk redovisning</w:t>
      </w:r>
      <w:bookmarkEnd w:id="5"/>
    </w:p>
    <w:p w14:paraId="1535BBEE" w14:textId="77777777" w:rsidR="00482C3D" w:rsidRPr="00482C3D" w:rsidRDefault="00482C3D" w:rsidP="00482C3D">
      <w:pPr>
        <w:rPr>
          <w:rFonts w:ascii="Garamond" w:hAnsi="Garamond"/>
          <w:sz w:val="24"/>
          <w:szCs w:val="24"/>
        </w:rPr>
      </w:pPr>
      <w:r w:rsidRPr="00482C3D">
        <w:rPr>
          <w:rFonts w:ascii="Garamond" w:hAnsi="Garamond"/>
          <w:sz w:val="24"/>
          <w:szCs w:val="24"/>
        </w:rPr>
        <w:t xml:space="preserve">Projektet har kostat </w:t>
      </w:r>
      <w:r w:rsidR="00D901EC">
        <w:rPr>
          <w:rFonts w:ascii="Garamond" w:hAnsi="Garamond"/>
          <w:sz w:val="24"/>
          <w:szCs w:val="24"/>
        </w:rPr>
        <w:t>drygt 1 miljon</w:t>
      </w:r>
      <w:r w:rsidRPr="00482C3D">
        <w:rPr>
          <w:rFonts w:ascii="Garamond" w:hAnsi="Garamond"/>
          <w:sz w:val="24"/>
          <w:szCs w:val="24"/>
        </w:rPr>
        <w:t xml:space="preserve"> kr</w:t>
      </w:r>
      <w:r w:rsidR="00D901EC">
        <w:rPr>
          <w:rFonts w:ascii="Garamond" w:hAnsi="Garamond"/>
          <w:sz w:val="24"/>
          <w:szCs w:val="24"/>
        </w:rPr>
        <w:t>onor</w:t>
      </w:r>
      <w:r w:rsidRPr="00482C3D">
        <w:rPr>
          <w:rFonts w:ascii="Garamond" w:hAnsi="Garamond"/>
          <w:sz w:val="24"/>
          <w:szCs w:val="24"/>
        </w:rPr>
        <w:t xml:space="preserve"> varav den </w:t>
      </w:r>
      <w:r w:rsidR="00D901EC">
        <w:rPr>
          <w:rFonts w:ascii="Garamond" w:hAnsi="Garamond"/>
          <w:sz w:val="24"/>
          <w:szCs w:val="24"/>
        </w:rPr>
        <w:t xml:space="preserve">dominerande posten </w:t>
      </w:r>
      <w:r w:rsidRPr="00482C3D">
        <w:rPr>
          <w:rFonts w:ascii="Garamond" w:hAnsi="Garamond"/>
          <w:sz w:val="24"/>
          <w:szCs w:val="24"/>
        </w:rPr>
        <w:t xml:space="preserve">är entreprenadarbeten. </w:t>
      </w:r>
    </w:p>
    <w:tbl>
      <w:tblPr>
        <w:tblStyle w:val="Tabellrutnt"/>
        <w:tblW w:w="0" w:type="auto"/>
        <w:tblLook w:val="04A0" w:firstRow="1" w:lastRow="0" w:firstColumn="1" w:lastColumn="0" w:noHBand="0" w:noVBand="1"/>
      </w:tblPr>
      <w:tblGrid>
        <w:gridCol w:w="3397"/>
        <w:gridCol w:w="2977"/>
        <w:gridCol w:w="2688"/>
      </w:tblGrid>
      <w:tr w:rsidR="00482C3D" w14:paraId="6ABBB0EF" w14:textId="77777777" w:rsidTr="00482C3D">
        <w:tc>
          <w:tcPr>
            <w:tcW w:w="3397" w:type="dxa"/>
          </w:tcPr>
          <w:p w14:paraId="497748BE" w14:textId="77777777" w:rsidR="00482C3D" w:rsidRPr="00A0601B" w:rsidRDefault="00482C3D">
            <w:pPr>
              <w:rPr>
                <w:b/>
              </w:rPr>
            </w:pPr>
            <w:r w:rsidRPr="00A0601B">
              <w:rPr>
                <w:b/>
              </w:rPr>
              <w:t>Kostnadsslag</w:t>
            </w:r>
          </w:p>
        </w:tc>
        <w:tc>
          <w:tcPr>
            <w:tcW w:w="2977" w:type="dxa"/>
          </w:tcPr>
          <w:p w14:paraId="002E6C1B" w14:textId="77777777" w:rsidR="00482C3D" w:rsidRPr="00A0601B" w:rsidRDefault="00482C3D">
            <w:pPr>
              <w:rPr>
                <w:b/>
              </w:rPr>
            </w:pPr>
            <w:r w:rsidRPr="00A0601B">
              <w:rPr>
                <w:b/>
              </w:rPr>
              <w:t>Kostnad</w:t>
            </w:r>
          </w:p>
        </w:tc>
        <w:tc>
          <w:tcPr>
            <w:tcW w:w="2688" w:type="dxa"/>
          </w:tcPr>
          <w:p w14:paraId="0FF5FB70" w14:textId="77777777" w:rsidR="00482C3D" w:rsidRPr="00A0601B" w:rsidRDefault="00482C3D">
            <w:pPr>
              <w:rPr>
                <w:b/>
              </w:rPr>
            </w:pPr>
            <w:r w:rsidRPr="00A0601B">
              <w:rPr>
                <w:b/>
              </w:rPr>
              <w:t>Andel av projektkostnad</w:t>
            </w:r>
          </w:p>
        </w:tc>
      </w:tr>
      <w:tr w:rsidR="00482C3D" w14:paraId="220466C1" w14:textId="77777777" w:rsidTr="00482C3D">
        <w:tc>
          <w:tcPr>
            <w:tcW w:w="3397" w:type="dxa"/>
          </w:tcPr>
          <w:p w14:paraId="3D7FA057" w14:textId="77777777" w:rsidR="00482C3D" w:rsidRDefault="00482C3D" w:rsidP="00A256DB">
            <w:pPr>
              <w:rPr>
                <w:rFonts w:ascii="Garamond" w:hAnsi="Garamond"/>
                <w:sz w:val="24"/>
                <w:szCs w:val="24"/>
              </w:rPr>
            </w:pPr>
            <w:r>
              <w:rPr>
                <w:rFonts w:ascii="Garamond" w:hAnsi="Garamond"/>
                <w:sz w:val="24"/>
                <w:szCs w:val="24"/>
              </w:rPr>
              <w:t>Entreprenadarbeten</w:t>
            </w:r>
          </w:p>
        </w:tc>
        <w:tc>
          <w:tcPr>
            <w:tcW w:w="2977" w:type="dxa"/>
          </w:tcPr>
          <w:p w14:paraId="6436FBA6" w14:textId="77777777" w:rsidR="00482C3D" w:rsidRDefault="00763989" w:rsidP="00982FD2">
            <w:pPr>
              <w:jc w:val="right"/>
              <w:rPr>
                <w:rFonts w:ascii="Garamond" w:hAnsi="Garamond"/>
                <w:sz w:val="24"/>
                <w:szCs w:val="24"/>
              </w:rPr>
            </w:pPr>
            <w:r>
              <w:rPr>
                <w:rFonts w:ascii="Garamond" w:hAnsi="Garamond"/>
                <w:sz w:val="24"/>
                <w:szCs w:val="24"/>
              </w:rPr>
              <w:t>920 000 kr</w:t>
            </w:r>
          </w:p>
        </w:tc>
        <w:tc>
          <w:tcPr>
            <w:tcW w:w="2688" w:type="dxa"/>
          </w:tcPr>
          <w:p w14:paraId="2C610B8A" w14:textId="77777777" w:rsidR="00482C3D" w:rsidRDefault="00D901EC" w:rsidP="00717EF0">
            <w:pPr>
              <w:jc w:val="center"/>
              <w:rPr>
                <w:rFonts w:ascii="Garamond" w:hAnsi="Garamond"/>
                <w:sz w:val="24"/>
                <w:szCs w:val="24"/>
              </w:rPr>
            </w:pPr>
            <w:r>
              <w:rPr>
                <w:rFonts w:ascii="Garamond" w:hAnsi="Garamond"/>
                <w:sz w:val="24"/>
                <w:szCs w:val="24"/>
              </w:rPr>
              <w:t>90%</w:t>
            </w:r>
          </w:p>
        </w:tc>
      </w:tr>
      <w:tr w:rsidR="00482C3D" w14:paraId="49CAEE51" w14:textId="77777777" w:rsidTr="00482C3D">
        <w:tc>
          <w:tcPr>
            <w:tcW w:w="3397" w:type="dxa"/>
          </w:tcPr>
          <w:p w14:paraId="1DE6C7BE" w14:textId="77777777" w:rsidR="00482C3D" w:rsidRDefault="00482C3D" w:rsidP="00A256DB">
            <w:pPr>
              <w:rPr>
                <w:rFonts w:ascii="Garamond" w:hAnsi="Garamond"/>
                <w:sz w:val="24"/>
                <w:szCs w:val="24"/>
              </w:rPr>
            </w:pPr>
            <w:r>
              <w:rPr>
                <w:rFonts w:ascii="Garamond" w:hAnsi="Garamond"/>
                <w:sz w:val="24"/>
                <w:szCs w:val="24"/>
              </w:rPr>
              <w:t>Konsultkostnader</w:t>
            </w:r>
          </w:p>
        </w:tc>
        <w:tc>
          <w:tcPr>
            <w:tcW w:w="2977" w:type="dxa"/>
          </w:tcPr>
          <w:p w14:paraId="39897E65" w14:textId="77777777" w:rsidR="00482C3D" w:rsidRDefault="00717EF0" w:rsidP="00982FD2">
            <w:pPr>
              <w:jc w:val="right"/>
              <w:rPr>
                <w:rFonts w:ascii="Garamond" w:hAnsi="Garamond"/>
                <w:sz w:val="24"/>
                <w:szCs w:val="24"/>
              </w:rPr>
            </w:pPr>
            <w:r>
              <w:rPr>
                <w:rFonts w:ascii="Garamond" w:hAnsi="Garamond"/>
                <w:sz w:val="24"/>
                <w:szCs w:val="24"/>
              </w:rPr>
              <w:t>64 742</w:t>
            </w:r>
            <w:r w:rsidR="00763989">
              <w:rPr>
                <w:rFonts w:ascii="Garamond" w:hAnsi="Garamond"/>
                <w:sz w:val="24"/>
                <w:szCs w:val="24"/>
              </w:rPr>
              <w:t xml:space="preserve"> kr</w:t>
            </w:r>
          </w:p>
        </w:tc>
        <w:tc>
          <w:tcPr>
            <w:tcW w:w="2688" w:type="dxa"/>
          </w:tcPr>
          <w:p w14:paraId="6AC2AF46" w14:textId="77777777" w:rsidR="00482C3D" w:rsidRDefault="00D901EC" w:rsidP="00717EF0">
            <w:pPr>
              <w:jc w:val="center"/>
              <w:rPr>
                <w:rFonts w:ascii="Garamond" w:hAnsi="Garamond"/>
                <w:sz w:val="24"/>
                <w:szCs w:val="24"/>
              </w:rPr>
            </w:pPr>
            <w:r>
              <w:rPr>
                <w:rFonts w:ascii="Garamond" w:hAnsi="Garamond"/>
                <w:sz w:val="24"/>
                <w:szCs w:val="24"/>
              </w:rPr>
              <w:t>6%</w:t>
            </w:r>
          </w:p>
        </w:tc>
      </w:tr>
      <w:tr w:rsidR="00482C3D" w14:paraId="4C4CC21B" w14:textId="77777777" w:rsidTr="00482C3D">
        <w:tc>
          <w:tcPr>
            <w:tcW w:w="3397" w:type="dxa"/>
          </w:tcPr>
          <w:p w14:paraId="092563C2" w14:textId="77777777" w:rsidR="00482C3D" w:rsidRDefault="00482C3D" w:rsidP="00482C3D">
            <w:pPr>
              <w:rPr>
                <w:rFonts w:ascii="Garamond" w:hAnsi="Garamond"/>
                <w:sz w:val="24"/>
                <w:szCs w:val="24"/>
              </w:rPr>
            </w:pPr>
            <w:r>
              <w:rPr>
                <w:rFonts w:ascii="Garamond" w:hAnsi="Garamond"/>
                <w:sz w:val="24"/>
                <w:szCs w:val="24"/>
              </w:rPr>
              <w:t>Egen arbetsinsats</w:t>
            </w:r>
          </w:p>
        </w:tc>
        <w:tc>
          <w:tcPr>
            <w:tcW w:w="2977" w:type="dxa"/>
          </w:tcPr>
          <w:p w14:paraId="7A70C424" w14:textId="77777777" w:rsidR="00482C3D" w:rsidRDefault="00982FD2" w:rsidP="00982FD2">
            <w:pPr>
              <w:jc w:val="right"/>
              <w:rPr>
                <w:rFonts w:ascii="Garamond" w:hAnsi="Garamond"/>
                <w:sz w:val="24"/>
                <w:szCs w:val="24"/>
              </w:rPr>
            </w:pPr>
            <w:r>
              <w:rPr>
                <w:rFonts w:ascii="Garamond" w:hAnsi="Garamond"/>
                <w:sz w:val="24"/>
                <w:szCs w:val="24"/>
              </w:rPr>
              <w:t>41 960</w:t>
            </w:r>
            <w:r w:rsidR="00763989">
              <w:rPr>
                <w:rFonts w:ascii="Garamond" w:hAnsi="Garamond"/>
                <w:sz w:val="24"/>
                <w:szCs w:val="24"/>
              </w:rPr>
              <w:t xml:space="preserve"> kr</w:t>
            </w:r>
          </w:p>
        </w:tc>
        <w:tc>
          <w:tcPr>
            <w:tcW w:w="2688" w:type="dxa"/>
          </w:tcPr>
          <w:p w14:paraId="5321A1E5" w14:textId="77777777" w:rsidR="00482C3D" w:rsidRDefault="00D901EC" w:rsidP="00717EF0">
            <w:pPr>
              <w:jc w:val="center"/>
              <w:rPr>
                <w:rFonts w:ascii="Garamond" w:hAnsi="Garamond"/>
                <w:sz w:val="24"/>
                <w:szCs w:val="24"/>
              </w:rPr>
            </w:pPr>
            <w:r>
              <w:rPr>
                <w:rFonts w:ascii="Garamond" w:hAnsi="Garamond"/>
                <w:sz w:val="24"/>
                <w:szCs w:val="24"/>
              </w:rPr>
              <w:t>4%</w:t>
            </w:r>
          </w:p>
        </w:tc>
      </w:tr>
      <w:tr w:rsidR="00A0601B" w14:paraId="0A2979A5" w14:textId="77777777" w:rsidTr="00482C3D">
        <w:tc>
          <w:tcPr>
            <w:tcW w:w="3397" w:type="dxa"/>
          </w:tcPr>
          <w:p w14:paraId="37BF5F93" w14:textId="77777777" w:rsidR="00A0601B" w:rsidRDefault="00A0601B" w:rsidP="00A0601B">
            <w:pPr>
              <w:spacing w:before="240"/>
              <w:rPr>
                <w:rFonts w:ascii="Garamond" w:hAnsi="Garamond"/>
                <w:sz w:val="24"/>
                <w:szCs w:val="24"/>
              </w:rPr>
            </w:pPr>
            <w:r>
              <w:rPr>
                <w:rFonts w:ascii="Garamond" w:hAnsi="Garamond"/>
                <w:sz w:val="24"/>
                <w:szCs w:val="24"/>
              </w:rPr>
              <w:t>Summa</w:t>
            </w:r>
          </w:p>
        </w:tc>
        <w:tc>
          <w:tcPr>
            <w:tcW w:w="2977" w:type="dxa"/>
          </w:tcPr>
          <w:p w14:paraId="43C2551B" w14:textId="77777777" w:rsidR="00A0601B" w:rsidRPr="00A4587E" w:rsidRDefault="00A0601B" w:rsidP="00982FD2">
            <w:pPr>
              <w:spacing w:before="240"/>
              <w:jc w:val="right"/>
              <w:rPr>
                <w:rFonts w:ascii="Garamond" w:hAnsi="Garamond"/>
                <w:sz w:val="24"/>
                <w:szCs w:val="24"/>
              </w:rPr>
            </w:pPr>
            <w:r w:rsidRPr="00A4587E">
              <w:rPr>
                <w:rFonts w:ascii="Garamond" w:hAnsi="Garamond"/>
                <w:sz w:val="24"/>
                <w:szCs w:val="24"/>
              </w:rPr>
              <w:t>1 0</w:t>
            </w:r>
            <w:r w:rsidR="00982FD2" w:rsidRPr="00A4587E">
              <w:rPr>
                <w:rFonts w:ascii="Garamond" w:hAnsi="Garamond"/>
                <w:sz w:val="24"/>
                <w:szCs w:val="24"/>
              </w:rPr>
              <w:t>26</w:t>
            </w:r>
            <w:r w:rsidRPr="00A4587E">
              <w:rPr>
                <w:rFonts w:ascii="Garamond" w:hAnsi="Garamond"/>
                <w:sz w:val="24"/>
                <w:szCs w:val="24"/>
              </w:rPr>
              <w:t> </w:t>
            </w:r>
            <w:r w:rsidR="00982FD2" w:rsidRPr="00A4587E">
              <w:rPr>
                <w:rFonts w:ascii="Garamond" w:hAnsi="Garamond"/>
                <w:sz w:val="24"/>
                <w:szCs w:val="24"/>
              </w:rPr>
              <w:t>702</w:t>
            </w:r>
            <w:r w:rsidRPr="00A4587E">
              <w:rPr>
                <w:rFonts w:ascii="Garamond" w:hAnsi="Garamond"/>
                <w:sz w:val="24"/>
                <w:szCs w:val="24"/>
              </w:rPr>
              <w:t xml:space="preserve"> kr</w:t>
            </w:r>
          </w:p>
        </w:tc>
        <w:tc>
          <w:tcPr>
            <w:tcW w:w="2688" w:type="dxa"/>
          </w:tcPr>
          <w:p w14:paraId="1147CA53" w14:textId="77777777" w:rsidR="00A0601B" w:rsidRDefault="00D901EC" w:rsidP="00A0601B">
            <w:pPr>
              <w:spacing w:before="240"/>
              <w:jc w:val="center"/>
              <w:rPr>
                <w:rFonts w:ascii="Garamond" w:hAnsi="Garamond"/>
                <w:sz w:val="24"/>
                <w:szCs w:val="24"/>
              </w:rPr>
            </w:pPr>
            <w:r>
              <w:rPr>
                <w:rFonts w:ascii="Garamond" w:hAnsi="Garamond"/>
                <w:sz w:val="24"/>
                <w:szCs w:val="24"/>
              </w:rPr>
              <w:t>100%</w:t>
            </w:r>
          </w:p>
        </w:tc>
      </w:tr>
    </w:tbl>
    <w:p w14:paraId="742C57D9" w14:textId="77777777" w:rsidR="00FA65E0" w:rsidRDefault="00FA65E0" w:rsidP="00436C38">
      <w:pPr>
        <w:pStyle w:val="Rubrik2"/>
        <w:spacing w:before="240"/>
      </w:pPr>
      <w:bookmarkStart w:id="6" w:name="_Toc88832492"/>
      <w:r>
        <w:t>Finansiering</w:t>
      </w:r>
      <w:bookmarkEnd w:id="6"/>
    </w:p>
    <w:p w14:paraId="643326C7" w14:textId="77777777" w:rsidR="00A0601B" w:rsidRDefault="00482C3D">
      <w:pPr>
        <w:rPr>
          <w:rFonts w:ascii="Garamond" w:hAnsi="Garamond"/>
          <w:sz w:val="24"/>
          <w:szCs w:val="24"/>
        </w:rPr>
      </w:pPr>
      <w:r w:rsidRPr="00482C3D">
        <w:rPr>
          <w:rFonts w:ascii="Garamond" w:hAnsi="Garamond"/>
          <w:sz w:val="24"/>
          <w:szCs w:val="24"/>
        </w:rPr>
        <w:t xml:space="preserve">Projektet har finansierats av LOVA-bidrag och medel från SNF:s Bra Miljövalfond (från försäljning av el märkt Bra Miljöval). </w:t>
      </w:r>
      <w:r w:rsidR="004846D8" w:rsidRPr="004846D8">
        <w:rPr>
          <w:rFonts w:ascii="Garamond" w:hAnsi="Garamond"/>
          <w:sz w:val="24"/>
          <w:szCs w:val="24"/>
        </w:rPr>
        <w:t xml:space="preserve">Bra Miljöval </w:t>
      </w:r>
      <w:r w:rsidR="00F22FA9">
        <w:rPr>
          <w:rFonts w:ascii="Garamond" w:hAnsi="Garamond"/>
          <w:sz w:val="24"/>
          <w:szCs w:val="24"/>
        </w:rPr>
        <w:t>har del</w:t>
      </w:r>
      <w:r w:rsidR="004846D8" w:rsidRPr="004846D8">
        <w:rPr>
          <w:rFonts w:ascii="Garamond" w:hAnsi="Garamond"/>
          <w:sz w:val="24"/>
          <w:szCs w:val="24"/>
        </w:rPr>
        <w:t xml:space="preserve">finansierat konstruktionsarbete och konsultarvode. </w:t>
      </w:r>
      <w:r w:rsidRPr="00482C3D">
        <w:rPr>
          <w:rFonts w:ascii="Garamond" w:hAnsi="Garamond"/>
          <w:sz w:val="24"/>
          <w:szCs w:val="24"/>
        </w:rPr>
        <w:t xml:space="preserve">VänerEnergi, Mariestads kommun och Länsstyrelsen Västra Götaland har stöttat arbete genom arbetstid. </w:t>
      </w:r>
    </w:p>
    <w:p w14:paraId="19637F61" w14:textId="77777777" w:rsidR="00A0601B" w:rsidRDefault="00A0601B">
      <w:pPr>
        <w:rPr>
          <w:rFonts w:ascii="Garamond" w:hAnsi="Garamond"/>
          <w:sz w:val="24"/>
          <w:szCs w:val="24"/>
        </w:rPr>
      </w:pPr>
      <w:r>
        <w:rPr>
          <w:rFonts w:ascii="Garamond" w:hAnsi="Garamond"/>
          <w:sz w:val="24"/>
          <w:szCs w:val="24"/>
        </w:rPr>
        <w:br w:type="page"/>
      </w:r>
    </w:p>
    <w:tbl>
      <w:tblPr>
        <w:tblStyle w:val="Tabellrutnt"/>
        <w:tblW w:w="0" w:type="auto"/>
        <w:tblLook w:val="04A0" w:firstRow="1" w:lastRow="0" w:firstColumn="1" w:lastColumn="0" w:noHBand="0" w:noVBand="1"/>
      </w:tblPr>
      <w:tblGrid>
        <w:gridCol w:w="3397"/>
        <w:gridCol w:w="2885"/>
        <w:gridCol w:w="2780"/>
      </w:tblGrid>
      <w:tr w:rsidR="00482C3D" w14:paraId="35E99649" w14:textId="77777777" w:rsidTr="00482C3D">
        <w:tc>
          <w:tcPr>
            <w:tcW w:w="3397" w:type="dxa"/>
          </w:tcPr>
          <w:p w14:paraId="191A72F9" w14:textId="77777777" w:rsidR="00482C3D" w:rsidRPr="00A0601B" w:rsidRDefault="00482C3D">
            <w:pPr>
              <w:rPr>
                <w:rFonts w:ascii="Garamond" w:hAnsi="Garamond"/>
                <w:b/>
                <w:sz w:val="24"/>
                <w:szCs w:val="24"/>
              </w:rPr>
            </w:pPr>
            <w:r w:rsidRPr="00A0601B">
              <w:rPr>
                <w:rFonts w:ascii="Garamond" w:hAnsi="Garamond"/>
                <w:b/>
                <w:sz w:val="24"/>
                <w:szCs w:val="24"/>
              </w:rPr>
              <w:lastRenderedPageBreak/>
              <w:t>Part</w:t>
            </w:r>
          </w:p>
        </w:tc>
        <w:tc>
          <w:tcPr>
            <w:tcW w:w="2885" w:type="dxa"/>
          </w:tcPr>
          <w:p w14:paraId="26B97FEB" w14:textId="77777777" w:rsidR="00482C3D" w:rsidRPr="00A0601B" w:rsidRDefault="00482C3D">
            <w:pPr>
              <w:rPr>
                <w:rFonts w:ascii="Garamond" w:hAnsi="Garamond"/>
                <w:b/>
                <w:sz w:val="24"/>
                <w:szCs w:val="24"/>
              </w:rPr>
            </w:pPr>
            <w:r w:rsidRPr="00A0601B">
              <w:rPr>
                <w:rFonts w:ascii="Garamond" w:hAnsi="Garamond"/>
                <w:b/>
                <w:sz w:val="24"/>
                <w:szCs w:val="24"/>
              </w:rPr>
              <w:t>Finansiering</w:t>
            </w:r>
          </w:p>
        </w:tc>
        <w:tc>
          <w:tcPr>
            <w:tcW w:w="2780" w:type="dxa"/>
          </w:tcPr>
          <w:p w14:paraId="356D1C75" w14:textId="77777777" w:rsidR="00482C3D" w:rsidRPr="00A0601B" w:rsidRDefault="00482C3D" w:rsidP="00982FD2">
            <w:pPr>
              <w:rPr>
                <w:rFonts w:ascii="Garamond" w:hAnsi="Garamond"/>
                <w:b/>
                <w:sz w:val="24"/>
                <w:szCs w:val="24"/>
              </w:rPr>
            </w:pPr>
            <w:r w:rsidRPr="00A0601B">
              <w:rPr>
                <w:rFonts w:ascii="Garamond" w:hAnsi="Garamond"/>
                <w:b/>
                <w:sz w:val="24"/>
                <w:szCs w:val="24"/>
              </w:rPr>
              <w:t xml:space="preserve">Andel av </w:t>
            </w:r>
            <w:r w:rsidR="00982FD2">
              <w:rPr>
                <w:rFonts w:ascii="Garamond" w:hAnsi="Garamond"/>
                <w:b/>
                <w:sz w:val="24"/>
                <w:szCs w:val="24"/>
              </w:rPr>
              <w:t>finansiering</w:t>
            </w:r>
          </w:p>
        </w:tc>
      </w:tr>
      <w:tr w:rsidR="00482C3D" w14:paraId="11E019A9" w14:textId="77777777" w:rsidTr="00482C3D">
        <w:tc>
          <w:tcPr>
            <w:tcW w:w="3397" w:type="dxa"/>
          </w:tcPr>
          <w:p w14:paraId="5D3749EE" w14:textId="77777777" w:rsidR="00482C3D" w:rsidRDefault="00482C3D">
            <w:pPr>
              <w:rPr>
                <w:rFonts w:ascii="Garamond" w:hAnsi="Garamond"/>
                <w:sz w:val="24"/>
                <w:szCs w:val="24"/>
              </w:rPr>
            </w:pPr>
            <w:r>
              <w:rPr>
                <w:rFonts w:ascii="Garamond" w:hAnsi="Garamond"/>
                <w:sz w:val="24"/>
                <w:szCs w:val="24"/>
              </w:rPr>
              <w:t>LOVA</w:t>
            </w:r>
          </w:p>
        </w:tc>
        <w:tc>
          <w:tcPr>
            <w:tcW w:w="2885" w:type="dxa"/>
          </w:tcPr>
          <w:p w14:paraId="2D1C2061" w14:textId="77777777" w:rsidR="00482C3D" w:rsidRPr="00A92231" w:rsidRDefault="00982FD2" w:rsidP="00A23974">
            <w:pPr>
              <w:keepLines/>
              <w:jc w:val="right"/>
              <w:rPr>
                <w:rFonts w:ascii="Garamond" w:hAnsi="Garamond"/>
                <w:sz w:val="24"/>
                <w:szCs w:val="24"/>
              </w:rPr>
            </w:pPr>
            <w:r w:rsidRPr="00A92231">
              <w:rPr>
                <w:rFonts w:ascii="Garamond" w:hAnsi="Garamond"/>
                <w:sz w:val="24"/>
                <w:szCs w:val="24"/>
              </w:rPr>
              <w:t>484 742 kr</w:t>
            </w:r>
          </w:p>
        </w:tc>
        <w:tc>
          <w:tcPr>
            <w:tcW w:w="2780" w:type="dxa"/>
          </w:tcPr>
          <w:p w14:paraId="2B12F8D0" w14:textId="77777777" w:rsidR="00482C3D" w:rsidRPr="00A92231" w:rsidRDefault="00982FD2" w:rsidP="00717EF0">
            <w:pPr>
              <w:jc w:val="center"/>
              <w:rPr>
                <w:rFonts w:ascii="Garamond" w:hAnsi="Garamond"/>
                <w:sz w:val="24"/>
                <w:szCs w:val="24"/>
              </w:rPr>
            </w:pPr>
            <w:r w:rsidRPr="00A92231">
              <w:rPr>
                <w:rFonts w:ascii="Garamond" w:hAnsi="Garamond"/>
                <w:sz w:val="24"/>
                <w:szCs w:val="24"/>
              </w:rPr>
              <w:t>47%</w:t>
            </w:r>
          </w:p>
        </w:tc>
      </w:tr>
      <w:tr w:rsidR="00482C3D" w14:paraId="2116B057" w14:textId="77777777" w:rsidTr="00482C3D">
        <w:tc>
          <w:tcPr>
            <w:tcW w:w="3397" w:type="dxa"/>
          </w:tcPr>
          <w:p w14:paraId="5D45108E" w14:textId="77777777" w:rsidR="00482C3D" w:rsidRDefault="00482C3D">
            <w:pPr>
              <w:rPr>
                <w:rFonts w:ascii="Garamond" w:hAnsi="Garamond"/>
                <w:sz w:val="24"/>
                <w:szCs w:val="24"/>
              </w:rPr>
            </w:pPr>
            <w:r>
              <w:rPr>
                <w:rFonts w:ascii="Garamond" w:hAnsi="Garamond"/>
                <w:sz w:val="24"/>
                <w:szCs w:val="24"/>
              </w:rPr>
              <w:t>Bra Miljöval</w:t>
            </w:r>
          </w:p>
        </w:tc>
        <w:tc>
          <w:tcPr>
            <w:tcW w:w="2885" w:type="dxa"/>
          </w:tcPr>
          <w:p w14:paraId="3D98FF36" w14:textId="77777777" w:rsidR="00482C3D" w:rsidRPr="00A92231" w:rsidRDefault="00717EF0" w:rsidP="00A23974">
            <w:pPr>
              <w:keepLines/>
              <w:jc w:val="right"/>
              <w:rPr>
                <w:rFonts w:ascii="Garamond" w:hAnsi="Garamond"/>
                <w:sz w:val="24"/>
                <w:szCs w:val="24"/>
              </w:rPr>
            </w:pPr>
            <w:r w:rsidRPr="00A92231">
              <w:rPr>
                <w:rFonts w:ascii="Garamond" w:hAnsi="Garamond"/>
                <w:sz w:val="24"/>
                <w:szCs w:val="24"/>
              </w:rPr>
              <w:t>500 000 kr</w:t>
            </w:r>
          </w:p>
        </w:tc>
        <w:tc>
          <w:tcPr>
            <w:tcW w:w="2780" w:type="dxa"/>
          </w:tcPr>
          <w:p w14:paraId="31839C7A" w14:textId="77777777" w:rsidR="00482C3D" w:rsidRPr="00A92231" w:rsidRDefault="00982FD2" w:rsidP="00717EF0">
            <w:pPr>
              <w:jc w:val="center"/>
              <w:rPr>
                <w:rFonts w:ascii="Garamond" w:hAnsi="Garamond"/>
                <w:sz w:val="24"/>
                <w:szCs w:val="24"/>
              </w:rPr>
            </w:pPr>
            <w:r w:rsidRPr="00A92231">
              <w:rPr>
                <w:rFonts w:ascii="Garamond" w:hAnsi="Garamond"/>
                <w:sz w:val="24"/>
                <w:szCs w:val="24"/>
              </w:rPr>
              <w:t>49%</w:t>
            </w:r>
          </w:p>
        </w:tc>
      </w:tr>
      <w:tr w:rsidR="00482C3D" w14:paraId="3479282F" w14:textId="77777777" w:rsidTr="00482C3D">
        <w:tc>
          <w:tcPr>
            <w:tcW w:w="3397" w:type="dxa"/>
          </w:tcPr>
          <w:p w14:paraId="7E77C009" w14:textId="77777777" w:rsidR="00482C3D" w:rsidRDefault="00482C3D">
            <w:pPr>
              <w:rPr>
                <w:rFonts w:ascii="Garamond" w:hAnsi="Garamond"/>
                <w:sz w:val="24"/>
                <w:szCs w:val="24"/>
              </w:rPr>
            </w:pPr>
            <w:r>
              <w:rPr>
                <w:rFonts w:ascii="Garamond" w:hAnsi="Garamond"/>
                <w:sz w:val="24"/>
                <w:szCs w:val="24"/>
              </w:rPr>
              <w:t>VänerEnergi</w:t>
            </w:r>
          </w:p>
        </w:tc>
        <w:tc>
          <w:tcPr>
            <w:tcW w:w="2885" w:type="dxa"/>
          </w:tcPr>
          <w:p w14:paraId="530F0F95" w14:textId="77777777" w:rsidR="00482C3D" w:rsidRPr="00A92231" w:rsidRDefault="00717EF0" w:rsidP="00A23974">
            <w:pPr>
              <w:keepLines/>
              <w:jc w:val="right"/>
              <w:rPr>
                <w:rFonts w:ascii="Garamond" w:hAnsi="Garamond"/>
                <w:sz w:val="24"/>
                <w:szCs w:val="24"/>
              </w:rPr>
            </w:pPr>
            <w:r w:rsidRPr="00A92231">
              <w:rPr>
                <w:rFonts w:ascii="Garamond" w:hAnsi="Garamond"/>
                <w:sz w:val="24"/>
                <w:szCs w:val="24"/>
              </w:rPr>
              <w:t>3 260 kr</w:t>
            </w:r>
          </w:p>
        </w:tc>
        <w:tc>
          <w:tcPr>
            <w:tcW w:w="2780" w:type="dxa"/>
          </w:tcPr>
          <w:p w14:paraId="03D599C7" w14:textId="77777777" w:rsidR="00982FD2" w:rsidRPr="00A92231" w:rsidRDefault="00982FD2" w:rsidP="00982FD2">
            <w:pPr>
              <w:jc w:val="center"/>
              <w:rPr>
                <w:rFonts w:ascii="Garamond" w:hAnsi="Garamond"/>
                <w:sz w:val="24"/>
                <w:szCs w:val="24"/>
              </w:rPr>
            </w:pPr>
            <w:r w:rsidRPr="00A92231">
              <w:rPr>
                <w:rFonts w:ascii="Garamond" w:hAnsi="Garamond"/>
                <w:sz w:val="24"/>
                <w:szCs w:val="24"/>
              </w:rPr>
              <w:t>0%</w:t>
            </w:r>
          </w:p>
        </w:tc>
      </w:tr>
      <w:tr w:rsidR="00482C3D" w14:paraId="068F0395" w14:textId="77777777" w:rsidTr="00482C3D">
        <w:tc>
          <w:tcPr>
            <w:tcW w:w="3397" w:type="dxa"/>
          </w:tcPr>
          <w:p w14:paraId="27075217" w14:textId="77777777" w:rsidR="00482C3D" w:rsidRDefault="00482C3D">
            <w:pPr>
              <w:rPr>
                <w:rFonts w:ascii="Garamond" w:hAnsi="Garamond"/>
                <w:sz w:val="24"/>
                <w:szCs w:val="24"/>
              </w:rPr>
            </w:pPr>
            <w:r>
              <w:rPr>
                <w:rFonts w:ascii="Garamond" w:hAnsi="Garamond"/>
                <w:sz w:val="24"/>
                <w:szCs w:val="24"/>
              </w:rPr>
              <w:t>Mariestads kommun</w:t>
            </w:r>
          </w:p>
        </w:tc>
        <w:tc>
          <w:tcPr>
            <w:tcW w:w="2885" w:type="dxa"/>
          </w:tcPr>
          <w:p w14:paraId="5EE50CFA" w14:textId="77777777" w:rsidR="00482C3D" w:rsidRPr="00A92231" w:rsidRDefault="00982FD2" w:rsidP="00A23974">
            <w:pPr>
              <w:keepLines/>
              <w:jc w:val="right"/>
              <w:rPr>
                <w:rFonts w:ascii="Garamond" w:hAnsi="Garamond"/>
                <w:sz w:val="24"/>
                <w:szCs w:val="24"/>
              </w:rPr>
            </w:pPr>
            <w:r w:rsidRPr="00A92231">
              <w:rPr>
                <w:rFonts w:ascii="Garamond" w:hAnsi="Garamond"/>
                <w:sz w:val="24"/>
                <w:szCs w:val="24"/>
              </w:rPr>
              <w:t>23 700 kr</w:t>
            </w:r>
          </w:p>
        </w:tc>
        <w:tc>
          <w:tcPr>
            <w:tcW w:w="2780" w:type="dxa"/>
          </w:tcPr>
          <w:p w14:paraId="142FBDBF" w14:textId="77777777" w:rsidR="00482C3D" w:rsidRPr="00A92231" w:rsidRDefault="00982FD2" w:rsidP="00717EF0">
            <w:pPr>
              <w:jc w:val="center"/>
              <w:rPr>
                <w:rFonts w:ascii="Garamond" w:hAnsi="Garamond"/>
                <w:sz w:val="24"/>
                <w:szCs w:val="24"/>
              </w:rPr>
            </w:pPr>
            <w:r w:rsidRPr="00A92231">
              <w:rPr>
                <w:rFonts w:ascii="Garamond" w:hAnsi="Garamond"/>
                <w:sz w:val="24"/>
                <w:szCs w:val="24"/>
              </w:rPr>
              <w:t>2%</w:t>
            </w:r>
          </w:p>
        </w:tc>
      </w:tr>
      <w:tr w:rsidR="00482C3D" w14:paraId="4F3C8021" w14:textId="77777777" w:rsidTr="00482C3D">
        <w:tc>
          <w:tcPr>
            <w:tcW w:w="3397" w:type="dxa"/>
          </w:tcPr>
          <w:p w14:paraId="378931A3" w14:textId="77777777" w:rsidR="00482C3D" w:rsidRDefault="00482C3D">
            <w:pPr>
              <w:rPr>
                <w:rFonts w:ascii="Garamond" w:hAnsi="Garamond"/>
                <w:sz w:val="24"/>
                <w:szCs w:val="24"/>
              </w:rPr>
            </w:pPr>
            <w:r>
              <w:rPr>
                <w:rFonts w:ascii="Garamond" w:hAnsi="Garamond"/>
                <w:sz w:val="24"/>
                <w:szCs w:val="24"/>
              </w:rPr>
              <w:t>Länsstyrelsen Västra Götaland</w:t>
            </w:r>
          </w:p>
        </w:tc>
        <w:tc>
          <w:tcPr>
            <w:tcW w:w="2885" w:type="dxa"/>
          </w:tcPr>
          <w:p w14:paraId="25421122" w14:textId="77777777" w:rsidR="00482C3D" w:rsidRPr="00A92231" w:rsidRDefault="00A0601B" w:rsidP="00A23974">
            <w:pPr>
              <w:keepLines/>
              <w:tabs>
                <w:tab w:val="left" w:pos="870"/>
                <w:tab w:val="center" w:pos="1334"/>
              </w:tabs>
              <w:jc w:val="right"/>
              <w:rPr>
                <w:rFonts w:ascii="Garamond" w:hAnsi="Garamond"/>
                <w:sz w:val="24"/>
                <w:szCs w:val="24"/>
              </w:rPr>
            </w:pPr>
            <w:r w:rsidRPr="00A92231">
              <w:rPr>
                <w:rFonts w:ascii="Garamond" w:hAnsi="Garamond"/>
                <w:sz w:val="24"/>
                <w:szCs w:val="24"/>
              </w:rPr>
              <w:t>15 000 kr</w:t>
            </w:r>
          </w:p>
        </w:tc>
        <w:tc>
          <w:tcPr>
            <w:tcW w:w="2780" w:type="dxa"/>
          </w:tcPr>
          <w:p w14:paraId="729813CC" w14:textId="77777777" w:rsidR="00482C3D" w:rsidRPr="00A92231" w:rsidRDefault="00982FD2" w:rsidP="00717EF0">
            <w:pPr>
              <w:jc w:val="center"/>
              <w:rPr>
                <w:rFonts w:ascii="Garamond" w:hAnsi="Garamond"/>
                <w:sz w:val="24"/>
                <w:szCs w:val="24"/>
              </w:rPr>
            </w:pPr>
            <w:r w:rsidRPr="00A92231">
              <w:rPr>
                <w:rFonts w:ascii="Garamond" w:hAnsi="Garamond"/>
                <w:sz w:val="24"/>
                <w:szCs w:val="24"/>
              </w:rPr>
              <w:t>2%</w:t>
            </w:r>
          </w:p>
        </w:tc>
      </w:tr>
      <w:tr w:rsidR="00982FD2" w14:paraId="5947B811" w14:textId="77777777" w:rsidTr="00482C3D">
        <w:tc>
          <w:tcPr>
            <w:tcW w:w="3397" w:type="dxa"/>
          </w:tcPr>
          <w:p w14:paraId="5F0C581D" w14:textId="77777777" w:rsidR="00982FD2" w:rsidRDefault="00982FD2" w:rsidP="00982FD2">
            <w:pPr>
              <w:spacing w:before="240"/>
              <w:rPr>
                <w:rFonts w:ascii="Garamond" w:hAnsi="Garamond"/>
                <w:sz w:val="24"/>
                <w:szCs w:val="24"/>
              </w:rPr>
            </w:pPr>
            <w:r>
              <w:rPr>
                <w:rFonts w:ascii="Garamond" w:hAnsi="Garamond"/>
                <w:sz w:val="24"/>
                <w:szCs w:val="24"/>
              </w:rPr>
              <w:t>Total finansiering</w:t>
            </w:r>
          </w:p>
        </w:tc>
        <w:tc>
          <w:tcPr>
            <w:tcW w:w="2885" w:type="dxa"/>
          </w:tcPr>
          <w:p w14:paraId="779D407A" w14:textId="77777777" w:rsidR="00982FD2" w:rsidRPr="00A92231" w:rsidRDefault="00A92231" w:rsidP="00982FD2">
            <w:pPr>
              <w:keepLines/>
              <w:tabs>
                <w:tab w:val="left" w:pos="870"/>
                <w:tab w:val="center" w:pos="1334"/>
              </w:tabs>
              <w:spacing w:before="240"/>
              <w:jc w:val="right"/>
              <w:rPr>
                <w:rFonts w:ascii="Garamond" w:hAnsi="Garamond"/>
                <w:sz w:val="24"/>
                <w:szCs w:val="24"/>
              </w:rPr>
            </w:pPr>
            <w:r w:rsidRPr="00A92231">
              <w:rPr>
                <w:rFonts w:ascii="Garamond" w:hAnsi="Garamond"/>
                <w:sz w:val="24"/>
                <w:szCs w:val="24"/>
              </w:rPr>
              <w:t>1 026 702</w:t>
            </w:r>
            <w:r w:rsidR="00982FD2" w:rsidRPr="00A92231">
              <w:rPr>
                <w:rFonts w:ascii="Garamond" w:hAnsi="Garamond"/>
                <w:sz w:val="24"/>
                <w:szCs w:val="24"/>
              </w:rPr>
              <w:t xml:space="preserve"> kr</w:t>
            </w:r>
          </w:p>
        </w:tc>
        <w:tc>
          <w:tcPr>
            <w:tcW w:w="2780" w:type="dxa"/>
          </w:tcPr>
          <w:p w14:paraId="66BF7065" w14:textId="77777777" w:rsidR="00982FD2" w:rsidRPr="00A92231" w:rsidRDefault="00982FD2" w:rsidP="00982FD2">
            <w:pPr>
              <w:spacing w:before="240"/>
              <w:jc w:val="center"/>
              <w:rPr>
                <w:rFonts w:ascii="Garamond" w:hAnsi="Garamond"/>
                <w:sz w:val="24"/>
                <w:szCs w:val="24"/>
              </w:rPr>
            </w:pPr>
            <w:r w:rsidRPr="00A92231">
              <w:rPr>
                <w:rFonts w:ascii="Garamond" w:hAnsi="Garamond"/>
                <w:sz w:val="24"/>
                <w:szCs w:val="24"/>
              </w:rPr>
              <w:t>100%</w:t>
            </w:r>
          </w:p>
        </w:tc>
      </w:tr>
    </w:tbl>
    <w:p w14:paraId="2F6D5B2A" w14:textId="77777777" w:rsidR="00482C3D" w:rsidRPr="00482C3D" w:rsidRDefault="00482C3D">
      <w:pPr>
        <w:rPr>
          <w:rFonts w:ascii="Garamond" w:hAnsi="Garamond"/>
          <w:sz w:val="24"/>
          <w:szCs w:val="24"/>
        </w:rPr>
      </w:pPr>
    </w:p>
    <w:p w14:paraId="114F1ED2" w14:textId="77777777" w:rsidR="00CB28F9" w:rsidRDefault="00CB28F9" w:rsidP="00482C3D">
      <w:pPr>
        <w:pStyle w:val="Rubrik2"/>
      </w:pPr>
      <w:bookmarkStart w:id="7" w:name="_Toc88832493"/>
      <w:r>
        <w:t>Organisation</w:t>
      </w:r>
      <w:bookmarkEnd w:id="7"/>
    </w:p>
    <w:p w14:paraId="235E197C" w14:textId="77777777" w:rsidR="00CB28F9" w:rsidRDefault="00CB28F9" w:rsidP="00CB28F9">
      <w:pPr>
        <w:rPr>
          <w:rFonts w:ascii="Garamond" w:hAnsi="Garamond"/>
          <w:sz w:val="24"/>
          <w:szCs w:val="24"/>
        </w:rPr>
      </w:pPr>
      <w:r w:rsidRPr="001817E6">
        <w:rPr>
          <w:rFonts w:ascii="Garamond" w:hAnsi="Garamond"/>
          <w:sz w:val="24"/>
          <w:szCs w:val="24"/>
        </w:rPr>
        <w:t xml:space="preserve">VänerEnergi AB har varit projektägare. Planering, projektering och upphandling har skett i samverkan mellan VänerEnergi AB, Mariestads kommun och Länsstyrelsen Västra Götaland. Konsulthjälp togs in för </w:t>
      </w:r>
      <w:r w:rsidR="00D83440" w:rsidRPr="001817E6">
        <w:rPr>
          <w:rFonts w:ascii="Garamond" w:hAnsi="Garamond"/>
          <w:sz w:val="24"/>
          <w:szCs w:val="24"/>
        </w:rPr>
        <w:t xml:space="preserve">sakkunskap. </w:t>
      </w:r>
      <w:r w:rsidRPr="001817E6">
        <w:rPr>
          <w:rFonts w:ascii="Garamond" w:hAnsi="Garamond"/>
          <w:sz w:val="24"/>
          <w:szCs w:val="24"/>
        </w:rPr>
        <w:t xml:space="preserve">Det praktiska arbetet </w:t>
      </w:r>
      <w:r w:rsidR="00D83440" w:rsidRPr="001817E6">
        <w:rPr>
          <w:rFonts w:ascii="Garamond" w:hAnsi="Garamond"/>
          <w:sz w:val="24"/>
          <w:szCs w:val="24"/>
        </w:rPr>
        <w:t xml:space="preserve">leddes av Mariestads kommun. En entreprenör upphandlades. </w:t>
      </w:r>
    </w:p>
    <w:p w14:paraId="6C04708D" w14:textId="77777777" w:rsidR="001817E6" w:rsidRPr="001817E6" w:rsidRDefault="001817E6" w:rsidP="00CB28F9">
      <w:pPr>
        <w:rPr>
          <w:rFonts w:ascii="Garamond" w:hAnsi="Garamond"/>
          <w:sz w:val="24"/>
          <w:szCs w:val="24"/>
        </w:rPr>
      </w:pPr>
      <w:r w:rsidRPr="00717515">
        <w:rPr>
          <w:rFonts w:ascii="Garamond" w:hAnsi="Garamond"/>
          <w:sz w:val="24"/>
          <w:szCs w:val="24"/>
        </w:rPr>
        <w:t>År 2015 bildades en lokal förvaltningsgrupp för Tidan i Mariestad. Denna fungera</w:t>
      </w:r>
      <w:r>
        <w:rPr>
          <w:rFonts w:ascii="Garamond" w:hAnsi="Garamond"/>
          <w:sz w:val="24"/>
          <w:szCs w:val="24"/>
        </w:rPr>
        <w:t>r</w:t>
      </w:r>
      <w:r w:rsidRPr="00717515">
        <w:rPr>
          <w:rFonts w:ascii="Garamond" w:hAnsi="Garamond"/>
          <w:sz w:val="24"/>
          <w:szCs w:val="24"/>
        </w:rPr>
        <w:t xml:space="preserve"> som ett f</w:t>
      </w:r>
      <w:r>
        <w:rPr>
          <w:rFonts w:ascii="Garamond" w:hAnsi="Garamond"/>
          <w:sz w:val="24"/>
          <w:szCs w:val="24"/>
        </w:rPr>
        <w:t>orum för att diskutera frågor som berör vattenmiljön.</w:t>
      </w:r>
      <w:r w:rsidRPr="00717515">
        <w:rPr>
          <w:rFonts w:ascii="Garamond" w:hAnsi="Garamond"/>
          <w:sz w:val="24"/>
          <w:szCs w:val="24"/>
        </w:rPr>
        <w:t xml:space="preserve"> I gruppen ingår </w:t>
      </w:r>
      <w:r>
        <w:rPr>
          <w:rFonts w:ascii="Garamond" w:hAnsi="Garamond"/>
          <w:sz w:val="24"/>
          <w:szCs w:val="24"/>
        </w:rPr>
        <w:t xml:space="preserve">Mariestads kommun, Länsstyrelsen, VänerEnergi, Metsä Tissue, Mariestads Sportfiskeklubb, Mariestads Naturskyddsförening och Göteborgs Universitet. Gruppen har fungerat som en informell referensgrupp i projektet. </w:t>
      </w:r>
    </w:p>
    <w:p w14:paraId="015ECE82" w14:textId="77777777" w:rsidR="00146E28" w:rsidRDefault="00146E28" w:rsidP="00482C3D">
      <w:pPr>
        <w:pStyle w:val="Rubrik2"/>
      </w:pPr>
      <w:bookmarkStart w:id="8" w:name="_Toc88832494"/>
      <w:r>
        <w:t>Bedömda effekter</w:t>
      </w:r>
      <w:bookmarkEnd w:id="8"/>
    </w:p>
    <w:p w14:paraId="2D24F951" w14:textId="77777777" w:rsidR="00763989" w:rsidRDefault="00482C3D" w:rsidP="00482C3D">
      <w:pPr>
        <w:rPr>
          <w:rFonts w:ascii="Garamond" w:hAnsi="Garamond"/>
          <w:sz w:val="24"/>
          <w:szCs w:val="24"/>
        </w:rPr>
      </w:pPr>
      <w:r w:rsidRPr="00763989">
        <w:rPr>
          <w:rFonts w:ascii="Garamond" w:hAnsi="Garamond"/>
          <w:sz w:val="24"/>
          <w:szCs w:val="24"/>
        </w:rPr>
        <w:t xml:space="preserve">Utförda undersökningar </w:t>
      </w:r>
      <w:r w:rsidR="00763989">
        <w:rPr>
          <w:rFonts w:ascii="Garamond" w:hAnsi="Garamond"/>
          <w:sz w:val="24"/>
          <w:szCs w:val="24"/>
        </w:rPr>
        <w:t>visar på att asp lekt i området uppströms Stadskvarnen. Enligt beräkningar utförda 2009</w:t>
      </w:r>
      <w:r w:rsidR="00763989">
        <w:rPr>
          <w:rStyle w:val="Fotnotsreferens"/>
          <w:rFonts w:ascii="Garamond" w:hAnsi="Garamond"/>
          <w:sz w:val="24"/>
          <w:szCs w:val="24"/>
        </w:rPr>
        <w:footnoteReference w:id="1"/>
      </w:r>
      <w:r w:rsidR="00763989">
        <w:rPr>
          <w:rFonts w:ascii="Garamond" w:hAnsi="Garamond"/>
          <w:sz w:val="24"/>
          <w:szCs w:val="24"/>
        </w:rPr>
        <w:t xml:space="preserve"> öppnar åtgärden upp c:a 11 000 m</w:t>
      </w:r>
      <w:r w:rsidR="00763989" w:rsidRPr="00436C38">
        <w:rPr>
          <w:rFonts w:ascii="Garamond" w:hAnsi="Garamond"/>
          <w:sz w:val="24"/>
          <w:szCs w:val="24"/>
          <w:vertAlign w:val="superscript"/>
        </w:rPr>
        <w:t>2</w:t>
      </w:r>
      <w:r w:rsidR="00763989">
        <w:rPr>
          <w:rFonts w:ascii="Garamond" w:hAnsi="Garamond"/>
          <w:sz w:val="24"/>
          <w:szCs w:val="24"/>
        </w:rPr>
        <w:t xml:space="preserve"> lämplig biotop för asplek. Andra arter som öring och vimma bör även dra nytta av åtgärden. </w:t>
      </w:r>
      <w:r w:rsidR="0016374B">
        <w:rPr>
          <w:rFonts w:ascii="Garamond" w:hAnsi="Garamond"/>
          <w:sz w:val="24"/>
          <w:szCs w:val="24"/>
        </w:rPr>
        <w:t xml:space="preserve">Nedströmsvandring för lekfisk och smolt/ungar underlättas genom att huvudfåran öppnats upp. </w:t>
      </w:r>
    </w:p>
    <w:p w14:paraId="7E7D52B8" w14:textId="77777777" w:rsidR="00482C3D" w:rsidRDefault="00763989" w:rsidP="0016374B">
      <w:pPr>
        <w:spacing w:after="120"/>
        <w:rPr>
          <w:rFonts w:ascii="Garamond" w:hAnsi="Garamond"/>
          <w:sz w:val="24"/>
          <w:szCs w:val="24"/>
        </w:rPr>
      </w:pPr>
      <w:r>
        <w:rPr>
          <w:rFonts w:ascii="Garamond" w:hAnsi="Garamond"/>
          <w:sz w:val="24"/>
          <w:szCs w:val="24"/>
        </w:rPr>
        <w:t xml:space="preserve">Okulär besiktning vid olika </w:t>
      </w:r>
      <w:r w:rsidR="0016374B">
        <w:rPr>
          <w:rFonts w:ascii="Garamond" w:hAnsi="Garamond"/>
          <w:sz w:val="24"/>
          <w:szCs w:val="24"/>
        </w:rPr>
        <w:t xml:space="preserve">tillfällen under projekttiden utförd vid </w:t>
      </w:r>
      <w:r>
        <w:rPr>
          <w:rFonts w:ascii="Garamond" w:hAnsi="Garamond"/>
          <w:sz w:val="24"/>
          <w:szCs w:val="24"/>
        </w:rPr>
        <w:t>vattenföringar ger vid handen att:</w:t>
      </w:r>
    </w:p>
    <w:p w14:paraId="28DB4E53" w14:textId="77777777" w:rsidR="00763989" w:rsidRPr="00763989" w:rsidRDefault="00763989" w:rsidP="00763989">
      <w:pPr>
        <w:pStyle w:val="Liststycke"/>
        <w:numPr>
          <w:ilvl w:val="0"/>
          <w:numId w:val="3"/>
        </w:numPr>
        <w:rPr>
          <w:rFonts w:ascii="Garamond" w:hAnsi="Garamond"/>
          <w:sz w:val="24"/>
          <w:szCs w:val="24"/>
        </w:rPr>
      </w:pPr>
      <w:r w:rsidRPr="00763989">
        <w:rPr>
          <w:rFonts w:ascii="Garamond" w:hAnsi="Garamond"/>
          <w:sz w:val="24"/>
          <w:szCs w:val="24"/>
        </w:rPr>
        <w:t>Vattenflöde sker såväl via huvudfåran som genom den öppnade passagen i skibord även vid låg vattenföring (c:a 5 m</w:t>
      </w:r>
      <w:r w:rsidRPr="00763989">
        <w:rPr>
          <w:rFonts w:ascii="Garamond" w:hAnsi="Garamond"/>
          <w:sz w:val="24"/>
          <w:szCs w:val="24"/>
          <w:vertAlign w:val="superscript"/>
        </w:rPr>
        <w:t>3</w:t>
      </w:r>
      <w:r w:rsidRPr="00763989">
        <w:rPr>
          <w:rFonts w:ascii="Garamond" w:hAnsi="Garamond"/>
          <w:sz w:val="24"/>
          <w:szCs w:val="24"/>
        </w:rPr>
        <w:t>/s).</w:t>
      </w:r>
    </w:p>
    <w:p w14:paraId="0058908F" w14:textId="77777777" w:rsidR="00763989" w:rsidRPr="00763989" w:rsidRDefault="00763989" w:rsidP="00763989">
      <w:pPr>
        <w:pStyle w:val="Liststycke"/>
        <w:numPr>
          <w:ilvl w:val="0"/>
          <w:numId w:val="3"/>
        </w:numPr>
        <w:rPr>
          <w:rFonts w:ascii="Garamond" w:hAnsi="Garamond"/>
          <w:sz w:val="24"/>
          <w:szCs w:val="24"/>
        </w:rPr>
      </w:pPr>
      <w:r w:rsidRPr="00763989">
        <w:rPr>
          <w:rFonts w:ascii="Garamond" w:hAnsi="Garamond"/>
          <w:sz w:val="24"/>
          <w:szCs w:val="24"/>
        </w:rPr>
        <w:t>E</w:t>
      </w:r>
      <w:r>
        <w:rPr>
          <w:rFonts w:ascii="Garamond" w:hAnsi="Garamond"/>
          <w:sz w:val="24"/>
          <w:szCs w:val="24"/>
        </w:rPr>
        <w:t>n</w:t>
      </w:r>
      <w:r w:rsidRPr="00763989">
        <w:rPr>
          <w:rFonts w:ascii="Garamond" w:hAnsi="Garamond"/>
          <w:sz w:val="24"/>
          <w:szCs w:val="24"/>
        </w:rPr>
        <w:t xml:space="preserve"> vattennivå upprätthålls i inloppskanalen till kraftverksbyggnaden även vid lågvattenföring. </w:t>
      </w:r>
    </w:p>
    <w:p w14:paraId="60AE7F96" w14:textId="77777777" w:rsidR="00763989" w:rsidRDefault="00763989" w:rsidP="00763989">
      <w:pPr>
        <w:pStyle w:val="Liststycke"/>
        <w:numPr>
          <w:ilvl w:val="0"/>
          <w:numId w:val="3"/>
        </w:numPr>
        <w:rPr>
          <w:rFonts w:ascii="Garamond" w:hAnsi="Garamond"/>
          <w:sz w:val="24"/>
          <w:szCs w:val="24"/>
        </w:rPr>
      </w:pPr>
      <w:r w:rsidRPr="00763989">
        <w:rPr>
          <w:rFonts w:ascii="Garamond" w:hAnsi="Garamond"/>
          <w:sz w:val="24"/>
          <w:szCs w:val="24"/>
        </w:rPr>
        <w:t xml:space="preserve">Det sker en spridning av vatten över området med svämlövskog även vid lågvatten. </w:t>
      </w:r>
    </w:p>
    <w:p w14:paraId="21617BD5" w14:textId="77777777" w:rsidR="00763989" w:rsidRDefault="0016374B" w:rsidP="00763989">
      <w:pPr>
        <w:rPr>
          <w:rFonts w:ascii="Garamond" w:hAnsi="Garamond"/>
          <w:sz w:val="24"/>
          <w:szCs w:val="24"/>
        </w:rPr>
      </w:pPr>
      <w:r>
        <w:rPr>
          <w:rFonts w:ascii="Garamond" w:hAnsi="Garamond"/>
          <w:sz w:val="24"/>
          <w:szCs w:val="24"/>
        </w:rPr>
        <w:t>Påverkan på kulturmiljön består i att:</w:t>
      </w:r>
    </w:p>
    <w:p w14:paraId="33D8502E" w14:textId="77777777" w:rsidR="0016374B" w:rsidRPr="0016374B" w:rsidRDefault="0016374B" w:rsidP="0016374B">
      <w:pPr>
        <w:pStyle w:val="Liststycke"/>
        <w:numPr>
          <w:ilvl w:val="0"/>
          <w:numId w:val="4"/>
        </w:numPr>
        <w:rPr>
          <w:rFonts w:ascii="Garamond" w:hAnsi="Garamond"/>
          <w:sz w:val="24"/>
          <w:szCs w:val="24"/>
        </w:rPr>
      </w:pPr>
      <w:r w:rsidRPr="0016374B">
        <w:rPr>
          <w:rFonts w:ascii="Garamond" w:hAnsi="Garamond"/>
          <w:sz w:val="24"/>
          <w:szCs w:val="24"/>
        </w:rPr>
        <w:t>Kraftverket ej längre är i drift och kvarnbyggnaden kommer att få annan användning, efter att ny detaljplan antagits.</w:t>
      </w:r>
      <w:r>
        <w:rPr>
          <w:rFonts w:ascii="Garamond" w:hAnsi="Garamond"/>
          <w:sz w:val="24"/>
          <w:szCs w:val="24"/>
        </w:rPr>
        <w:t xml:space="preserve"> </w:t>
      </w:r>
    </w:p>
    <w:p w14:paraId="0C88B83A" w14:textId="77777777" w:rsidR="0016374B" w:rsidRPr="0016374B" w:rsidRDefault="0016374B" w:rsidP="0016374B">
      <w:pPr>
        <w:pStyle w:val="Liststycke"/>
        <w:numPr>
          <w:ilvl w:val="0"/>
          <w:numId w:val="4"/>
        </w:numPr>
        <w:rPr>
          <w:rFonts w:ascii="Garamond" w:hAnsi="Garamond"/>
          <w:sz w:val="24"/>
          <w:szCs w:val="24"/>
        </w:rPr>
      </w:pPr>
      <w:r w:rsidRPr="0016374B">
        <w:rPr>
          <w:rFonts w:ascii="Garamond" w:hAnsi="Garamond"/>
          <w:sz w:val="24"/>
          <w:szCs w:val="24"/>
        </w:rPr>
        <w:t>Flodluckor har avläg</w:t>
      </w:r>
      <w:r>
        <w:rPr>
          <w:rFonts w:ascii="Garamond" w:hAnsi="Garamond"/>
          <w:sz w:val="24"/>
          <w:szCs w:val="24"/>
        </w:rPr>
        <w:t>s</w:t>
      </w:r>
      <w:r w:rsidRPr="0016374B">
        <w:rPr>
          <w:rFonts w:ascii="Garamond" w:hAnsi="Garamond"/>
          <w:sz w:val="24"/>
          <w:szCs w:val="24"/>
        </w:rPr>
        <w:t xml:space="preserve">nats och inte längre kan ses på plats. </w:t>
      </w:r>
      <w:r>
        <w:rPr>
          <w:rFonts w:ascii="Garamond" w:hAnsi="Garamond"/>
          <w:sz w:val="24"/>
          <w:szCs w:val="24"/>
        </w:rPr>
        <w:t>Dammen har sä</w:t>
      </w:r>
      <w:r w:rsidR="00645560">
        <w:rPr>
          <w:rFonts w:ascii="Garamond" w:hAnsi="Garamond"/>
          <w:sz w:val="24"/>
          <w:szCs w:val="24"/>
        </w:rPr>
        <w:t>n</w:t>
      </w:r>
      <w:r>
        <w:rPr>
          <w:rFonts w:ascii="Garamond" w:hAnsi="Garamond"/>
          <w:sz w:val="24"/>
          <w:szCs w:val="24"/>
        </w:rPr>
        <w:t xml:space="preserve">kts av och framgår inte lika tydligt som innan. </w:t>
      </w:r>
      <w:r w:rsidRPr="0016374B">
        <w:rPr>
          <w:rFonts w:ascii="Garamond" w:hAnsi="Garamond"/>
          <w:sz w:val="24"/>
          <w:szCs w:val="24"/>
        </w:rPr>
        <w:t xml:space="preserve">Dock finns de murade fundamenten kvar varför förståelsen för platsens historia fortfarande kan utläsas. </w:t>
      </w:r>
    </w:p>
    <w:p w14:paraId="74102F6E" w14:textId="77777777" w:rsidR="0016374B" w:rsidRDefault="0016374B" w:rsidP="0016374B">
      <w:pPr>
        <w:pStyle w:val="Liststycke"/>
        <w:numPr>
          <w:ilvl w:val="0"/>
          <w:numId w:val="4"/>
        </w:numPr>
        <w:rPr>
          <w:rFonts w:ascii="Garamond" w:hAnsi="Garamond"/>
          <w:sz w:val="24"/>
          <w:szCs w:val="24"/>
        </w:rPr>
      </w:pPr>
      <w:r w:rsidRPr="0016374B">
        <w:rPr>
          <w:rFonts w:ascii="Garamond" w:hAnsi="Garamond"/>
          <w:sz w:val="24"/>
          <w:szCs w:val="24"/>
        </w:rPr>
        <w:lastRenderedPageBreak/>
        <w:t>En öppning i skibord har gjorts men denna är inte uppenbar för en besökare vid Stadskvarne</w:t>
      </w:r>
      <w:r>
        <w:rPr>
          <w:rFonts w:ascii="Garamond" w:hAnsi="Garamond"/>
          <w:sz w:val="24"/>
          <w:szCs w:val="24"/>
        </w:rPr>
        <w:t>n</w:t>
      </w:r>
      <w:r w:rsidRPr="0016374B">
        <w:rPr>
          <w:rFonts w:ascii="Garamond" w:hAnsi="Garamond"/>
          <w:sz w:val="24"/>
          <w:szCs w:val="24"/>
        </w:rPr>
        <w:t xml:space="preserve"> p.g.a. den finns i anslutning till den motsatta stranden.</w:t>
      </w:r>
    </w:p>
    <w:p w14:paraId="2BF88F2A" w14:textId="77777777" w:rsidR="0016374B" w:rsidRDefault="0016374B" w:rsidP="0016374B">
      <w:pPr>
        <w:rPr>
          <w:rFonts w:ascii="Garamond" w:hAnsi="Garamond"/>
          <w:sz w:val="24"/>
          <w:szCs w:val="24"/>
        </w:rPr>
      </w:pPr>
      <w:r>
        <w:rPr>
          <w:rFonts w:ascii="Garamond" w:hAnsi="Garamond"/>
          <w:sz w:val="24"/>
          <w:szCs w:val="24"/>
        </w:rPr>
        <w:t xml:space="preserve">Öppnande av dammen har inneburit en </w:t>
      </w:r>
      <w:r w:rsidR="002B6263">
        <w:rPr>
          <w:rFonts w:ascii="Garamond" w:hAnsi="Garamond"/>
          <w:sz w:val="24"/>
          <w:szCs w:val="24"/>
        </w:rPr>
        <w:t>sänkning av vattennivån precis vid dammkonstruktionen</w:t>
      </w:r>
      <w:r>
        <w:rPr>
          <w:rFonts w:ascii="Garamond" w:hAnsi="Garamond"/>
          <w:sz w:val="24"/>
          <w:szCs w:val="24"/>
        </w:rPr>
        <w:t xml:space="preserve"> på c:a 1 m. Eftersom kraftverket varit ett s.k. strömfallskraftverk utan reglering så påverkas vattennivån uppströms i mindre utsträckning. Bedömningen utifrån bottentopografi är att en viss påverkan sker upp till c:a 400 m uppströms dammen.</w:t>
      </w:r>
    </w:p>
    <w:p w14:paraId="79991000" w14:textId="77777777" w:rsidR="00881F7F" w:rsidRDefault="00881F7F" w:rsidP="0016374B">
      <w:pPr>
        <w:rPr>
          <w:rFonts w:ascii="Garamond" w:hAnsi="Garamond"/>
          <w:sz w:val="24"/>
          <w:szCs w:val="24"/>
        </w:rPr>
      </w:pPr>
      <w:r>
        <w:rPr>
          <w:rFonts w:ascii="Garamond" w:hAnsi="Garamond"/>
          <w:sz w:val="24"/>
          <w:szCs w:val="24"/>
        </w:rPr>
        <w:t>Före</w:t>
      </w:r>
    </w:p>
    <w:p w14:paraId="0007D6BA" w14:textId="77777777" w:rsidR="004846D8" w:rsidRDefault="00881F7F" w:rsidP="0016374B">
      <w:pPr>
        <w:rPr>
          <w:rFonts w:ascii="Garamond" w:hAnsi="Garamond"/>
          <w:sz w:val="24"/>
          <w:szCs w:val="24"/>
        </w:rPr>
      </w:pPr>
      <w:r>
        <w:rPr>
          <w:rFonts w:ascii="Garamond" w:hAnsi="Garamond"/>
          <w:noProof/>
          <w:sz w:val="24"/>
          <w:szCs w:val="24"/>
          <w:lang w:eastAsia="sv-SE"/>
        </w:rPr>
        <w:drawing>
          <wp:inline distT="0" distB="0" distL="0" distR="0" wp14:anchorId="51C9FDEF" wp14:editId="4D1F9CEB">
            <wp:extent cx="5516208" cy="3105150"/>
            <wp:effectExtent l="0" t="0" r="8890" b="0"/>
            <wp:docPr id="3" name="Bildobjekt 3" descr="Bild på dammen före åtgä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hama0504\AppData\Local\Microsoft\Windows\INetCache\Content.Word\DSC_0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3855" cy="3131971"/>
                    </a:xfrm>
                    <a:prstGeom prst="rect">
                      <a:avLst/>
                    </a:prstGeom>
                    <a:noFill/>
                    <a:ln>
                      <a:noFill/>
                    </a:ln>
                  </pic:spPr>
                </pic:pic>
              </a:graphicData>
            </a:graphic>
          </wp:inline>
        </w:drawing>
      </w:r>
    </w:p>
    <w:p w14:paraId="47C54176" w14:textId="77777777" w:rsidR="00881F7F" w:rsidRDefault="00881F7F" w:rsidP="0016374B">
      <w:pPr>
        <w:rPr>
          <w:rFonts w:ascii="Garamond" w:hAnsi="Garamond"/>
          <w:sz w:val="24"/>
          <w:szCs w:val="24"/>
        </w:rPr>
      </w:pPr>
      <w:r>
        <w:rPr>
          <w:rFonts w:ascii="Garamond" w:hAnsi="Garamond"/>
          <w:sz w:val="24"/>
          <w:szCs w:val="24"/>
        </w:rPr>
        <w:t>Efter</w:t>
      </w:r>
    </w:p>
    <w:p w14:paraId="756D25EE" w14:textId="77777777" w:rsidR="00881F7F" w:rsidRPr="0016374B" w:rsidRDefault="00881F7F" w:rsidP="0016374B">
      <w:pPr>
        <w:rPr>
          <w:rFonts w:ascii="Garamond" w:hAnsi="Garamond"/>
          <w:sz w:val="24"/>
          <w:szCs w:val="24"/>
        </w:rPr>
      </w:pPr>
      <w:r>
        <w:rPr>
          <w:rFonts w:ascii="Garamond" w:hAnsi="Garamond"/>
          <w:noProof/>
          <w:sz w:val="24"/>
          <w:szCs w:val="24"/>
          <w:lang w:eastAsia="sv-SE"/>
        </w:rPr>
        <w:drawing>
          <wp:inline distT="0" distB="0" distL="0" distR="0" wp14:anchorId="50D3B27F" wp14:editId="647384C8">
            <wp:extent cx="5505450" cy="3651504"/>
            <wp:effectExtent l="0" t="0" r="0" b="6350"/>
            <wp:docPr id="4" name="Bildobjekt 4" descr="Bild på dammen efter åtgä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phama0504\AppData\Local\Microsoft\Windows\INetCache\Content.Word\IMG_044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1481"/>
                    <a:stretch/>
                  </pic:blipFill>
                  <pic:spPr bwMode="auto">
                    <a:xfrm>
                      <a:off x="0" y="0"/>
                      <a:ext cx="5564602" cy="3690737"/>
                    </a:xfrm>
                    <a:prstGeom prst="rect">
                      <a:avLst/>
                    </a:prstGeom>
                    <a:noFill/>
                    <a:ln>
                      <a:noFill/>
                    </a:ln>
                    <a:extLst>
                      <a:ext uri="{53640926-AAD7-44D8-BBD7-CCE9431645EC}">
                        <a14:shadowObscured xmlns:a14="http://schemas.microsoft.com/office/drawing/2010/main"/>
                      </a:ext>
                    </a:extLst>
                  </pic:spPr>
                </pic:pic>
              </a:graphicData>
            </a:graphic>
          </wp:inline>
        </w:drawing>
      </w:r>
    </w:p>
    <w:p w14:paraId="77550FAC" w14:textId="77777777" w:rsidR="00C63393" w:rsidRDefault="00C63393" w:rsidP="00763989">
      <w:pPr>
        <w:pStyle w:val="Rubrik2"/>
      </w:pPr>
      <w:bookmarkStart w:id="9" w:name="_Toc88832495"/>
      <w:r>
        <w:lastRenderedPageBreak/>
        <w:t>Bilagor</w:t>
      </w:r>
      <w:bookmarkEnd w:id="9"/>
    </w:p>
    <w:p w14:paraId="15472F33" w14:textId="77777777" w:rsidR="00C63393" w:rsidRPr="00A0601B" w:rsidRDefault="00C63393" w:rsidP="00A0601B">
      <w:pPr>
        <w:pStyle w:val="Liststycke"/>
        <w:numPr>
          <w:ilvl w:val="0"/>
          <w:numId w:val="5"/>
        </w:numPr>
        <w:rPr>
          <w:rFonts w:ascii="Garamond" w:hAnsi="Garamond"/>
          <w:sz w:val="24"/>
          <w:szCs w:val="24"/>
        </w:rPr>
      </w:pPr>
      <w:r w:rsidRPr="00A0601B">
        <w:rPr>
          <w:rFonts w:ascii="Garamond" w:hAnsi="Garamond"/>
          <w:sz w:val="24"/>
          <w:szCs w:val="24"/>
        </w:rPr>
        <w:t>Protokoll från slutbesiktning</w:t>
      </w:r>
    </w:p>
    <w:p w14:paraId="66EA78CA" w14:textId="77777777" w:rsidR="00645560" w:rsidRPr="00A0601B" w:rsidRDefault="00645560" w:rsidP="00A0601B">
      <w:pPr>
        <w:pStyle w:val="Liststycke"/>
        <w:numPr>
          <w:ilvl w:val="0"/>
          <w:numId w:val="5"/>
        </w:numPr>
        <w:rPr>
          <w:rFonts w:ascii="Garamond" w:hAnsi="Garamond"/>
          <w:sz w:val="24"/>
          <w:szCs w:val="24"/>
        </w:rPr>
      </w:pPr>
      <w:r w:rsidRPr="00A0601B">
        <w:rPr>
          <w:rFonts w:ascii="Garamond" w:hAnsi="Garamond"/>
          <w:sz w:val="24"/>
          <w:szCs w:val="24"/>
        </w:rPr>
        <w:t>Fotodokumentation</w:t>
      </w:r>
    </w:p>
    <w:p w14:paraId="4C28BF3D" w14:textId="77777777" w:rsidR="00146E28" w:rsidRPr="00A0601B" w:rsidRDefault="00146E28" w:rsidP="00A0601B">
      <w:pPr>
        <w:pStyle w:val="Liststycke"/>
        <w:numPr>
          <w:ilvl w:val="0"/>
          <w:numId w:val="5"/>
        </w:numPr>
        <w:rPr>
          <w:rFonts w:ascii="Garamond" w:hAnsi="Garamond"/>
          <w:sz w:val="24"/>
          <w:szCs w:val="24"/>
        </w:rPr>
      </w:pPr>
      <w:r w:rsidRPr="00A0601B">
        <w:rPr>
          <w:rFonts w:ascii="Garamond" w:hAnsi="Garamond"/>
          <w:sz w:val="24"/>
          <w:szCs w:val="24"/>
        </w:rPr>
        <w:t>Elevationsritning</w:t>
      </w:r>
    </w:p>
    <w:p w14:paraId="523D698A" w14:textId="77777777" w:rsidR="00146E28" w:rsidRPr="00A0601B" w:rsidRDefault="00146E28" w:rsidP="00A0601B">
      <w:pPr>
        <w:pStyle w:val="Liststycke"/>
        <w:numPr>
          <w:ilvl w:val="0"/>
          <w:numId w:val="5"/>
        </w:numPr>
        <w:rPr>
          <w:rFonts w:ascii="Garamond" w:hAnsi="Garamond"/>
          <w:sz w:val="24"/>
          <w:szCs w:val="24"/>
        </w:rPr>
      </w:pPr>
      <w:r w:rsidRPr="00A0601B">
        <w:rPr>
          <w:rFonts w:ascii="Garamond" w:hAnsi="Garamond"/>
          <w:sz w:val="24"/>
          <w:szCs w:val="24"/>
        </w:rPr>
        <w:t>Undersökningsrapport</w:t>
      </w:r>
    </w:p>
    <w:p w14:paraId="1906BFEE" w14:textId="77777777" w:rsidR="005D44D6" w:rsidRDefault="002B6263" w:rsidP="00A0601B">
      <w:pPr>
        <w:pStyle w:val="Liststycke"/>
        <w:numPr>
          <w:ilvl w:val="0"/>
          <w:numId w:val="5"/>
        </w:numPr>
        <w:rPr>
          <w:rFonts w:ascii="Garamond" w:hAnsi="Garamond"/>
          <w:sz w:val="24"/>
          <w:szCs w:val="24"/>
        </w:rPr>
      </w:pPr>
      <w:r w:rsidRPr="00A0601B">
        <w:rPr>
          <w:rFonts w:ascii="Garamond" w:hAnsi="Garamond"/>
          <w:sz w:val="24"/>
          <w:szCs w:val="24"/>
        </w:rPr>
        <w:t xml:space="preserve">Verifikation på betalningar </w:t>
      </w:r>
    </w:p>
    <w:p w14:paraId="32FDDD69" w14:textId="77777777" w:rsidR="005D44D6" w:rsidRDefault="005D44D6">
      <w:pPr>
        <w:rPr>
          <w:rFonts w:ascii="Garamond" w:hAnsi="Garamond"/>
          <w:sz w:val="24"/>
          <w:szCs w:val="24"/>
        </w:rPr>
      </w:pPr>
      <w:r>
        <w:rPr>
          <w:rFonts w:ascii="Garamond" w:hAnsi="Garamond"/>
          <w:sz w:val="24"/>
          <w:szCs w:val="24"/>
        </w:rPr>
        <w:br w:type="page"/>
      </w:r>
    </w:p>
    <w:tbl>
      <w:tblPr>
        <w:tblStyle w:val="Tabellrutnt"/>
        <w:tblW w:w="0" w:type="auto"/>
        <w:tblLook w:val="04A0" w:firstRow="1" w:lastRow="0" w:firstColumn="1" w:lastColumn="0" w:noHBand="0" w:noVBand="1"/>
      </w:tblPr>
      <w:tblGrid>
        <w:gridCol w:w="4656"/>
        <w:gridCol w:w="4406"/>
      </w:tblGrid>
      <w:tr w:rsidR="005D44D6" w14:paraId="3EF48D57" w14:textId="77777777" w:rsidTr="00AC2005">
        <w:tc>
          <w:tcPr>
            <w:tcW w:w="4656" w:type="dxa"/>
            <w:tcBorders>
              <w:top w:val="nil"/>
              <w:left w:val="nil"/>
              <w:bottom w:val="nil"/>
              <w:right w:val="nil"/>
            </w:tcBorders>
            <w:vAlign w:val="center"/>
          </w:tcPr>
          <w:p w14:paraId="5023D7B7" w14:textId="77777777" w:rsidR="005D44D6" w:rsidRDefault="005D44D6" w:rsidP="00AC2005">
            <w:pPr>
              <w:spacing w:before="4000"/>
              <w:jc w:val="center"/>
            </w:pPr>
            <w:r>
              <w:rPr>
                <w:noProof/>
                <w:lang w:eastAsia="sv-SE"/>
              </w:rPr>
              <w:lastRenderedPageBreak/>
              <w:drawing>
                <wp:inline distT="0" distB="0" distL="0" distR="0" wp14:anchorId="3EB9D3E8" wp14:editId="7A0350A8">
                  <wp:extent cx="1204913" cy="146685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a Miljöval logotyp.PNG"/>
                          <pic:cNvPicPr/>
                        </pic:nvPicPr>
                        <pic:blipFill>
                          <a:blip r:embed="rId11">
                            <a:extLst>
                              <a:ext uri="{28A0092B-C50C-407E-A947-70E740481C1C}">
                                <a14:useLocalDpi xmlns:a14="http://schemas.microsoft.com/office/drawing/2010/main" val="0"/>
                              </a:ext>
                            </a:extLst>
                          </a:blip>
                          <a:stretch>
                            <a:fillRect/>
                          </a:stretch>
                        </pic:blipFill>
                        <pic:spPr>
                          <a:xfrm>
                            <a:off x="0" y="0"/>
                            <a:ext cx="1217817" cy="1482560"/>
                          </a:xfrm>
                          <a:prstGeom prst="rect">
                            <a:avLst/>
                          </a:prstGeom>
                        </pic:spPr>
                      </pic:pic>
                    </a:graphicData>
                  </a:graphic>
                </wp:inline>
              </w:drawing>
            </w:r>
          </w:p>
        </w:tc>
        <w:tc>
          <w:tcPr>
            <w:tcW w:w="4406" w:type="dxa"/>
            <w:tcBorders>
              <w:top w:val="nil"/>
              <w:left w:val="nil"/>
              <w:bottom w:val="nil"/>
              <w:right w:val="nil"/>
            </w:tcBorders>
            <w:vAlign w:val="center"/>
          </w:tcPr>
          <w:p w14:paraId="0A1767C4" w14:textId="77777777" w:rsidR="005D44D6" w:rsidRDefault="005D44D6" w:rsidP="00AC2005">
            <w:pPr>
              <w:spacing w:before="4000"/>
              <w:jc w:val="center"/>
            </w:pPr>
            <w:r>
              <w:rPr>
                <w:noProof/>
                <w:lang w:eastAsia="sv-SE"/>
              </w:rPr>
              <w:drawing>
                <wp:inline distT="0" distB="0" distL="0" distR="0" wp14:anchorId="6C3A3404" wp14:editId="0FEA6861">
                  <wp:extent cx="1943246" cy="1162050"/>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VA_logga_hav_ls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2043" cy="1167310"/>
                          </a:xfrm>
                          <a:prstGeom prst="rect">
                            <a:avLst/>
                          </a:prstGeom>
                        </pic:spPr>
                      </pic:pic>
                    </a:graphicData>
                  </a:graphic>
                </wp:inline>
              </w:drawing>
            </w:r>
          </w:p>
        </w:tc>
      </w:tr>
      <w:tr w:rsidR="005D44D6" w14:paraId="02DB1A61" w14:textId="77777777" w:rsidTr="00AC2005">
        <w:tc>
          <w:tcPr>
            <w:tcW w:w="4656" w:type="dxa"/>
            <w:tcBorders>
              <w:top w:val="nil"/>
              <w:left w:val="nil"/>
              <w:bottom w:val="nil"/>
              <w:right w:val="nil"/>
            </w:tcBorders>
            <w:vAlign w:val="center"/>
          </w:tcPr>
          <w:p w14:paraId="46DF12DB" w14:textId="77777777" w:rsidR="005D44D6" w:rsidRDefault="005D44D6" w:rsidP="00AC2005">
            <w:pPr>
              <w:jc w:val="center"/>
            </w:pPr>
            <w:r>
              <w:rPr>
                <w:noProof/>
                <w:lang w:eastAsia="sv-SE"/>
              </w:rPr>
              <w:drawing>
                <wp:inline distT="0" distB="0" distL="0" distR="0" wp14:anchorId="2EB30C82" wp14:editId="25F3A4B4">
                  <wp:extent cx="2809875" cy="800100"/>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09875" cy="800100"/>
                          </a:xfrm>
                          <a:prstGeom prst="rect">
                            <a:avLst/>
                          </a:prstGeom>
                        </pic:spPr>
                      </pic:pic>
                    </a:graphicData>
                  </a:graphic>
                </wp:inline>
              </w:drawing>
            </w:r>
          </w:p>
        </w:tc>
        <w:tc>
          <w:tcPr>
            <w:tcW w:w="4406" w:type="dxa"/>
            <w:tcBorders>
              <w:top w:val="nil"/>
              <w:left w:val="nil"/>
              <w:bottom w:val="nil"/>
              <w:right w:val="nil"/>
            </w:tcBorders>
            <w:vAlign w:val="center"/>
          </w:tcPr>
          <w:p w14:paraId="76E323A3" w14:textId="77777777" w:rsidR="005D44D6" w:rsidRDefault="005D44D6" w:rsidP="00AC2005">
            <w:pPr>
              <w:jc w:val="center"/>
            </w:pPr>
            <w:r>
              <w:rPr>
                <w:noProof/>
                <w:lang w:eastAsia="sv-SE"/>
              </w:rPr>
              <w:drawing>
                <wp:inline distT="0" distB="0" distL="0" distR="0" wp14:anchorId="0F026031" wp14:editId="6930E043">
                  <wp:extent cx="1133881" cy="1190625"/>
                  <wp:effectExtent l="0" t="0" r="9525"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stad_centrerad_fyrfär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6825" cy="1214717"/>
                          </a:xfrm>
                          <a:prstGeom prst="rect">
                            <a:avLst/>
                          </a:prstGeom>
                        </pic:spPr>
                      </pic:pic>
                    </a:graphicData>
                  </a:graphic>
                </wp:inline>
              </w:drawing>
            </w:r>
          </w:p>
        </w:tc>
      </w:tr>
      <w:tr w:rsidR="005D44D6" w14:paraId="67C39668" w14:textId="77777777" w:rsidTr="00AC2005">
        <w:tc>
          <w:tcPr>
            <w:tcW w:w="9062" w:type="dxa"/>
            <w:gridSpan w:val="2"/>
            <w:tcBorders>
              <w:top w:val="nil"/>
              <w:left w:val="nil"/>
              <w:bottom w:val="nil"/>
              <w:right w:val="nil"/>
            </w:tcBorders>
            <w:vAlign w:val="center"/>
          </w:tcPr>
          <w:p w14:paraId="2A8FBFF3" w14:textId="77777777" w:rsidR="005D44D6" w:rsidRDefault="005D44D6" w:rsidP="00AC2005">
            <w:pPr>
              <w:jc w:val="center"/>
            </w:pPr>
            <w:r>
              <w:rPr>
                <w:noProof/>
                <w:lang w:eastAsia="sv-SE"/>
              </w:rPr>
              <w:drawing>
                <wp:inline distT="0" distB="0" distL="0" distR="0" wp14:anchorId="1318477B" wp14:editId="257AE4B2">
                  <wp:extent cx="2040114" cy="1114425"/>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66957" cy="1129088"/>
                          </a:xfrm>
                          <a:prstGeom prst="rect">
                            <a:avLst/>
                          </a:prstGeom>
                        </pic:spPr>
                      </pic:pic>
                    </a:graphicData>
                  </a:graphic>
                </wp:inline>
              </w:drawing>
            </w:r>
          </w:p>
        </w:tc>
      </w:tr>
    </w:tbl>
    <w:p w14:paraId="556E0F69" w14:textId="77777777" w:rsidR="002B6263" w:rsidRPr="00A0601B" w:rsidRDefault="002B6263" w:rsidP="005D44D6">
      <w:pPr>
        <w:pStyle w:val="Liststycke"/>
        <w:rPr>
          <w:rFonts w:ascii="Garamond" w:hAnsi="Garamond"/>
          <w:sz w:val="24"/>
          <w:szCs w:val="24"/>
        </w:rPr>
      </w:pPr>
    </w:p>
    <w:p w14:paraId="7A52241B" w14:textId="77777777" w:rsidR="00146E28" w:rsidRDefault="00146E28"/>
    <w:p w14:paraId="3C400E67" w14:textId="77777777" w:rsidR="00C63393" w:rsidRDefault="00C63393"/>
    <w:p w14:paraId="00756328" w14:textId="77777777" w:rsidR="00FA65E0" w:rsidRDefault="00FA65E0"/>
    <w:sectPr w:rsidR="00FA65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5881" w14:textId="77777777" w:rsidR="00253D89" w:rsidRDefault="00253D89" w:rsidP="00763989">
      <w:pPr>
        <w:spacing w:after="0" w:line="240" w:lineRule="auto"/>
      </w:pPr>
      <w:r>
        <w:separator/>
      </w:r>
    </w:p>
  </w:endnote>
  <w:endnote w:type="continuationSeparator" w:id="0">
    <w:p w14:paraId="05FA494A" w14:textId="77777777" w:rsidR="00253D89" w:rsidRDefault="00253D89" w:rsidP="0076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F09F4" w14:textId="77777777" w:rsidR="00253D89" w:rsidRDefault="00253D89" w:rsidP="00763989">
      <w:pPr>
        <w:spacing w:after="0" w:line="240" w:lineRule="auto"/>
      </w:pPr>
      <w:r>
        <w:separator/>
      </w:r>
    </w:p>
  </w:footnote>
  <w:footnote w:type="continuationSeparator" w:id="0">
    <w:p w14:paraId="612C2E92" w14:textId="77777777" w:rsidR="00253D89" w:rsidRDefault="00253D89" w:rsidP="00763989">
      <w:pPr>
        <w:spacing w:after="0" w:line="240" w:lineRule="auto"/>
      </w:pPr>
      <w:r>
        <w:continuationSeparator/>
      </w:r>
    </w:p>
  </w:footnote>
  <w:footnote w:id="1">
    <w:p w14:paraId="3CDA31F6" w14:textId="77777777" w:rsidR="00645560" w:rsidRDefault="00645560" w:rsidP="00645560">
      <w:pPr>
        <w:pStyle w:val="Fotnotstext"/>
      </w:pPr>
      <w:r>
        <w:rPr>
          <w:rStyle w:val="Fotnotsreferens"/>
        </w:rPr>
        <w:footnoteRef/>
      </w:r>
      <w:r>
        <w:t xml:space="preserve"> Egriell N. ”Tidan – en utredning om naturvärden och vattenkraft” – Länsstyrelsen i Västra Götaland (rapport 2009:17) – Mariestad 2010</w:t>
      </w:r>
    </w:p>
    <w:p w14:paraId="19BB706E" w14:textId="77777777" w:rsidR="00763989" w:rsidRDefault="00763989">
      <w:pPr>
        <w:pStyle w:val="Fotnots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12337"/>
    <w:multiLevelType w:val="hybridMultilevel"/>
    <w:tmpl w:val="7EACED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E7C7583"/>
    <w:multiLevelType w:val="hybridMultilevel"/>
    <w:tmpl w:val="E25EAA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EE3755E"/>
    <w:multiLevelType w:val="hybridMultilevel"/>
    <w:tmpl w:val="A100F3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CE442A3"/>
    <w:multiLevelType w:val="hybridMultilevel"/>
    <w:tmpl w:val="4D8ED4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46D5BB9"/>
    <w:multiLevelType w:val="hybridMultilevel"/>
    <w:tmpl w:val="10725B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5E0"/>
    <w:rsid w:val="00146E28"/>
    <w:rsid w:val="0016374B"/>
    <w:rsid w:val="001817E6"/>
    <w:rsid w:val="002028DD"/>
    <w:rsid w:val="0024533C"/>
    <w:rsid w:val="00253D89"/>
    <w:rsid w:val="002B6263"/>
    <w:rsid w:val="00436C38"/>
    <w:rsid w:val="00482C3D"/>
    <w:rsid w:val="004846D8"/>
    <w:rsid w:val="004F24C6"/>
    <w:rsid w:val="005D44D6"/>
    <w:rsid w:val="00645560"/>
    <w:rsid w:val="006E6F60"/>
    <w:rsid w:val="00717EF0"/>
    <w:rsid w:val="00734135"/>
    <w:rsid w:val="00763989"/>
    <w:rsid w:val="00802D56"/>
    <w:rsid w:val="00881F7F"/>
    <w:rsid w:val="009675DD"/>
    <w:rsid w:val="00982FD2"/>
    <w:rsid w:val="00A0601B"/>
    <w:rsid w:val="00A23974"/>
    <w:rsid w:val="00A4587E"/>
    <w:rsid w:val="00A92231"/>
    <w:rsid w:val="00C5798B"/>
    <w:rsid w:val="00C63393"/>
    <w:rsid w:val="00CB28F9"/>
    <w:rsid w:val="00D83440"/>
    <w:rsid w:val="00D901EC"/>
    <w:rsid w:val="00EA0BCC"/>
    <w:rsid w:val="00F1725D"/>
    <w:rsid w:val="00F22FA9"/>
    <w:rsid w:val="00FA65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831A"/>
  <w15:chartTrackingRefBased/>
  <w15:docId w15:val="{ACAABCED-2872-48CF-880C-73DE197F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63393"/>
    <w:pPr>
      <w:keepNext/>
      <w:keepLines/>
      <w:spacing w:before="240" w:after="240"/>
      <w:outlineLvl w:val="0"/>
    </w:pPr>
    <w:rPr>
      <w:rFonts w:ascii="Arial" w:eastAsiaTheme="majorEastAsia" w:hAnsi="Arial" w:cs="Arial"/>
      <w:sz w:val="34"/>
      <w:szCs w:val="34"/>
    </w:rPr>
  </w:style>
  <w:style w:type="paragraph" w:styleId="Rubrik2">
    <w:name w:val="heading 2"/>
    <w:basedOn w:val="Normal"/>
    <w:next w:val="Normal"/>
    <w:link w:val="Rubrik2Char"/>
    <w:uiPriority w:val="9"/>
    <w:unhideWhenUsed/>
    <w:qFormat/>
    <w:rsid w:val="00C63393"/>
    <w:pPr>
      <w:outlineLvl w:val="1"/>
    </w:pPr>
    <w:rPr>
      <w:rFonts w:ascii="Arial" w:hAnsi="Arial" w:cs="Arial"/>
      <w:sz w:val="28"/>
      <w:szCs w:val="28"/>
    </w:rPr>
  </w:style>
  <w:style w:type="paragraph" w:styleId="Rubrik3">
    <w:name w:val="heading 3"/>
    <w:basedOn w:val="Normal"/>
    <w:next w:val="Normal"/>
    <w:link w:val="Rubrik3Char"/>
    <w:uiPriority w:val="9"/>
    <w:unhideWhenUsed/>
    <w:qFormat/>
    <w:rsid w:val="00482C3D"/>
    <w:pPr>
      <w:outlineLvl w:val="2"/>
    </w:pPr>
    <w:rPr>
      <w:rFonts w:ascii="Garamond" w:hAnsi="Garamond"/>
      <w:sz w:val="24"/>
      <w:szCs w:val="24"/>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link w:val="BrdtextChar"/>
    <w:uiPriority w:val="2"/>
    <w:qFormat/>
    <w:rsid w:val="00C63393"/>
    <w:pPr>
      <w:spacing w:after="120" w:line="280" w:lineRule="atLeast"/>
    </w:pPr>
    <w:rPr>
      <w:rFonts w:ascii="Georgia" w:hAnsi="Georgia"/>
    </w:rPr>
  </w:style>
  <w:style w:type="character" w:customStyle="1" w:styleId="BrdtextChar">
    <w:name w:val="Brödtext Char"/>
    <w:basedOn w:val="Standardstycketeckensnitt"/>
    <w:link w:val="Brdtext"/>
    <w:uiPriority w:val="2"/>
    <w:rsid w:val="00C63393"/>
    <w:rPr>
      <w:rFonts w:ascii="Georgia" w:hAnsi="Georgia"/>
    </w:rPr>
  </w:style>
  <w:style w:type="character" w:customStyle="1" w:styleId="Rubrik1Char">
    <w:name w:val="Rubrik 1 Char"/>
    <w:basedOn w:val="Standardstycketeckensnitt"/>
    <w:link w:val="Rubrik1"/>
    <w:uiPriority w:val="9"/>
    <w:rsid w:val="00C63393"/>
    <w:rPr>
      <w:rFonts w:ascii="Arial" w:eastAsiaTheme="majorEastAsia" w:hAnsi="Arial" w:cs="Arial"/>
      <w:sz w:val="34"/>
      <w:szCs w:val="34"/>
    </w:rPr>
  </w:style>
  <w:style w:type="character" w:customStyle="1" w:styleId="Rubrik2Char">
    <w:name w:val="Rubrik 2 Char"/>
    <w:basedOn w:val="Standardstycketeckensnitt"/>
    <w:link w:val="Rubrik2"/>
    <w:uiPriority w:val="9"/>
    <w:rsid w:val="00C63393"/>
    <w:rPr>
      <w:rFonts w:ascii="Arial" w:hAnsi="Arial" w:cs="Arial"/>
      <w:sz w:val="28"/>
      <w:szCs w:val="28"/>
    </w:rPr>
  </w:style>
  <w:style w:type="character" w:customStyle="1" w:styleId="Rubrik3Char">
    <w:name w:val="Rubrik 3 Char"/>
    <w:basedOn w:val="Standardstycketeckensnitt"/>
    <w:link w:val="Rubrik3"/>
    <w:uiPriority w:val="9"/>
    <w:rsid w:val="00482C3D"/>
    <w:rPr>
      <w:rFonts w:ascii="Garamond" w:hAnsi="Garamond"/>
      <w:sz w:val="24"/>
      <w:szCs w:val="24"/>
      <w:u w:val="single"/>
    </w:rPr>
  </w:style>
  <w:style w:type="paragraph" w:styleId="Liststycke">
    <w:name w:val="List Paragraph"/>
    <w:basedOn w:val="Normal"/>
    <w:uiPriority w:val="34"/>
    <w:qFormat/>
    <w:rsid w:val="00C5798B"/>
    <w:pPr>
      <w:ind w:left="720"/>
      <w:contextualSpacing/>
    </w:pPr>
  </w:style>
  <w:style w:type="table" w:styleId="Tabellrutnt">
    <w:name w:val="Table Grid"/>
    <w:basedOn w:val="Normaltabell"/>
    <w:uiPriority w:val="39"/>
    <w:rsid w:val="00482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unhideWhenUsed/>
    <w:rsid w:val="00763989"/>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63989"/>
    <w:rPr>
      <w:sz w:val="20"/>
      <w:szCs w:val="20"/>
    </w:rPr>
  </w:style>
  <w:style w:type="character" w:styleId="Fotnotsreferens">
    <w:name w:val="footnote reference"/>
    <w:basedOn w:val="Standardstycketeckensnitt"/>
    <w:uiPriority w:val="99"/>
    <w:semiHidden/>
    <w:unhideWhenUsed/>
    <w:rsid w:val="00763989"/>
    <w:rPr>
      <w:vertAlign w:val="superscript"/>
    </w:rPr>
  </w:style>
  <w:style w:type="paragraph" w:styleId="Sidhuvud">
    <w:name w:val="header"/>
    <w:basedOn w:val="Normal"/>
    <w:link w:val="SidhuvudChar"/>
    <w:uiPriority w:val="99"/>
    <w:unhideWhenUsed/>
    <w:rsid w:val="00436C3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36C38"/>
  </w:style>
  <w:style w:type="paragraph" w:styleId="Sidfot">
    <w:name w:val="footer"/>
    <w:basedOn w:val="Normal"/>
    <w:link w:val="SidfotChar"/>
    <w:uiPriority w:val="99"/>
    <w:unhideWhenUsed/>
    <w:rsid w:val="00436C3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36C38"/>
  </w:style>
  <w:style w:type="paragraph" w:styleId="Innehllsfrteckningsrubrik">
    <w:name w:val="TOC Heading"/>
    <w:basedOn w:val="Rubrik1"/>
    <w:next w:val="Normal"/>
    <w:uiPriority w:val="39"/>
    <w:unhideWhenUsed/>
    <w:qFormat/>
    <w:rsid w:val="00645560"/>
    <w:pPr>
      <w:spacing w:after="0"/>
      <w:outlineLvl w:val="9"/>
    </w:pPr>
    <w:rPr>
      <w:rFonts w:asciiTheme="majorHAnsi" w:hAnsiTheme="majorHAnsi" w:cstheme="majorBidi"/>
      <w:color w:val="2E74B5" w:themeColor="accent1" w:themeShade="BF"/>
      <w:sz w:val="32"/>
      <w:szCs w:val="32"/>
      <w:lang w:eastAsia="sv-SE"/>
    </w:rPr>
  </w:style>
  <w:style w:type="paragraph" w:styleId="Innehll1">
    <w:name w:val="toc 1"/>
    <w:basedOn w:val="Normal"/>
    <w:next w:val="Normal"/>
    <w:autoRedefine/>
    <w:uiPriority w:val="39"/>
    <w:unhideWhenUsed/>
    <w:rsid w:val="00645560"/>
    <w:pPr>
      <w:spacing w:after="100"/>
    </w:pPr>
  </w:style>
  <w:style w:type="paragraph" w:styleId="Innehll2">
    <w:name w:val="toc 2"/>
    <w:basedOn w:val="Normal"/>
    <w:next w:val="Normal"/>
    <w:autoRedefine/>
    <w:uiPriority w:val="39"/>
    <w:unhideWhenUsed/>
    <w:rsid w:val="00645560"/>
    <w:pPr>
      <w:spacing w:after="100"/>
      <w:ind w:left="220"/>
    </w:pPr>
  </w:style>
  <w:style w:type="paragraph" w:styleId="Innehll3">
    <w:name w:val="toc 3"/>
    <w:basedOn w:val="Normal"/>
    <w:next w:val="Normal"/>
    <w:autoRedefine/>
    <w:uiPriority w:val="39"/>
    <w:unhideWhenUsed/>
    <w:rsid w:val="00645560"/>
    <w:pPr>
      <w:spacing w:after="100"/>
      <w:ind w:left="440"/>
    </w:pPr>
  </w:style>
  <w:style w:type="character" w:styleId="Hyperlnk">
    <w:name w:val="Hyperlink"/>
    <w:basedOn w:val="Standardstycketeckensnitt"/>
    <w:uiPriority w:val="99"/>
    <w:unhideWhenUsed/>
    <w:rsid w:val="00645560"/>
    <w:rPr>
      <w:color w:val="0563C1" w:themeColor="hyperlink"/>
      <w:u w:val="single"/>
    </w:rPr>
  </w:style>
  <w:style w:type="paragraph" w:styleId="Ballongtext">
    <w:name w:val="Balloon Text"/>
    <w:basedOn w:val="Normal"/>
    <w:link w:val="BallongtextChar"/>
    <w:uiPriority w:val="99"/>
    <w:semiHidden/>
    <w:unhideWhenUsed/>
    <w:rsid w:val="00A9223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922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3D0E6-D981-4EDA-9695-1BC8172AA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1416</Words>
  <Characters>7510</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MTG</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Magnusson</dc:creator>
  <cp:keywords/>
  <dc:description/>
  <cp:lastModifiedBy>Hilma Samuelsson</cp:lastModifiedBy>
  <cp:revision>2</cp:revision>
  <cp:lastPrinted>2021-12-14T12:29:00Z</cp:lastPrinted>
  <dcterms:created xsi:type="dcterms:W3CDTF">2022-01-20T07:58:00Z</dcterms:created>
  <dcterms:modified xsi:type="dcterms:W3CDTF">2022-01-20T07:58:00Z</dcterms:modified>
</cp:coreProperties>
</file>